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310102151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310102151</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5F17EB" w14:paraId="0C6EEC95" w14:textId="77777777" w:rsidTr="00582B57">
        <w:trPr>
          <w:trHeight w:val="2500"/>
        </w:trPr>
        <w:tc>
          <w:tcPr>
            <w:tcW w:w="4877" w:type="dxa"/>
            <w:hideMark/>
          </w:tcPr>
          <w:p w14:paraId="77156FCC" w14:textId="174FBD5C" w:rsidR="00F6318B" w:rsidRPr="004805FA" w:rsidRDefault="004805FA" w:rsidP="0018736C">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18736C">
              <w:rPr>
                <w:b/>
                <w:bCs/>
                <w:color w:val="000000"/>
                <w:sz w:val="28"/>
                <w:szCs w:val="28"/>
                <w:lang w:bidi="uk-UA"/>
              </w:rPr>
              <w:t>громадянину Шпаку Сергію Михайловичу</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18736C">
              <w:rPr>
                <w:b/>
                <w:bCs/>
                <w:color w:val="000000"/>
                <w:sz w:val="28"/>
                <w:szCs w:val="28"/>
                <w:lang w:bidi="uk-UA"/>
              </w:rPr>
              <w:t>проєкту землеустрою щодо відведення земельної ділянки</w:t>
            </w:r>
            <w:r w:rsidR="00F724FC" w:rsidRPr="0018736C">
              <w:rPr>
                <w:b/>
                <w:bCs/>
                <w:color w:val="000000"/>
                <w:sz w:val="28"/>
                <w:szCs w:val="28"/>
                <w:lang w:bidi="uk-UA"/>
              </w:rPr>
              <w:t xml:space="preserve"> </w:t>
            </w:r>
            <w:r w:rsidR="003C068E" w:rsidRPr="0018736C">
              <w:rPr>
                <w:b/>
                <w:bCs/>
                <w:color w:val="000000"/>
                <w:sz w:val="28"/>
                <w:szCs w:val="28"/>
                <w:lang w:bidi="uk-UA"/>
              </w:rPr>
              <w:t>у</w:t>
            </w:r>
            <w:r w:rsidR="00515998" w:rsidRPr="0018736C">
              <w:rPr>
                <w:b/>
                <w:bCs/>
                <w:color w:val="000000"/>
                <w:sz w:val="28"/>
                <w:szCs w:val="28"/>
                <w:lang w:bidi="uk-UA"/>
              </w:rPr>
              <w:t xml:space="preserve"> </w:t>
            </w:r>
            <w:r w:rsidR="00515998" w:rsidRPr="0018736C">
              <w:rPr>
                <w:rStyle w:val="af1"/>
                <w:b/>
                <w:i w:val="0"/>
                <w:sz w:val="28"/>
                <w:szCs w:val="28"/>
              </w:rPr>
              <w:t>власність</w:t>
            </w:r>
            <w:r w:rsidR="006C20FA" w:rsidRPr="0018736C">
              <w:rPr>
                <w:b/>
                <w:bCs/>
                <w:color w:val="000000"/>
                <w:sz w:val="28"/>
                <w:szCs w:val="28"/>
                <w:lang w:bidi="uk-UA"/>
              </w:rPr>
              <w:t xml:space="preserve"> </w:t>
            </w:r>
            <w:r w:rsidR="002D20BE" w:rsidRPr="0018736C">
              <w:rPr>
                <w:b/>
                <w:color w:val="000000"/>
                <w:sz w:val="28"/>
                <w:szCs w:val="28"/>
                <w:lang w:bidi="uk-UA"/>
              </w:rPr>
              <w:t xml:space="preserve">для будівництва і обслуговування жилого будинку, господарських будівель і споруд </w:t>
            </w:r>
            <w:r w:rsidRPr="0018736C">
              <w:rPr>
                <w:b/>
                <w:bCs/>
                <w:color w:val="000000"/>
                <w:sz w:val="28"/>
                <w:szCs w:val="28"/>
                <w:lang w:bidi="uk-UA"/>
              </w:rPr>
              <w:t xml:space="preserve">на </w:t>
            </w:r>
            <w:r w:rsidR="00EB2B10" w:rsidRPr="0018736C">
              <w:rPr>
                <w:b/>
                <w:bCs/>
                <w:color w:val="000000"/>
                <w:sz w:val="28"/>
                <w:szCs w:val="28"/>
                <w:lang w:bidi="uk-UA"/>
              </w:rPr>
              <w:t>Стратегічн</w:t>
            </w:r>
            <w:r w:rsidR="0018736C">
              <w:rPr>
                <w:b/>
                <w:bCs/>
                <w:color w:val="000000"/>
                <w:sz w:val="28"/>
                <w:szCs w:val="28"/>
                <w:lang w:bidi="uk-UA"/>
              </w:rPr>
              <w:t>ому</w:t>
            </w:r>
            <w:r w:rsidR="00EB2B10" w:rsidRPr="0018736C">
              <w:rPr>
                <w:b/>
                <w:bCs/>
                <w:color w:val="000000"/>
                <w:sz w:val="28"/>
                <w:szCs w:val="28"/>
                <w:lang w:bidi="uk-UA"/>
              </w:rPr>
              <w:t xml:space="preserve"> шосе, 24</w:t>
            </w:r>
            <w:r w:rsidRPr="004805FA">
              <w:rPr>
                <w:b/>
                <w:bCs/>
                <w:color w:val="000000"/>
                <w:sz w:val="28"/>
                <w:szCs w:val="28"/>
                <w:lang w:bidi="uk-UA"/>
              </w:rPr>
              <w:t xml:space="preserve"> у </w:t>
            </w:r>
            <w:r w:rsidR="00EB2B10" w:rsidRPr="00EB2B10">
              <w:rPr>
                <w:b/>
                <w:bCs/>
                <w:color w:val="000000"/>
                <w:sz w:val="28"/>
                <w:szCs w:val="28"/>
                <w:lang w:bidi="uk-UA"/>
              </w:rPr>
              <w:t>Голосіївському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3D5FDE">
        <w:t>Розглянувши клопотання про надання дозволу на розроблення проєкту землеустрою щодо відведення земельної ділянки громадянину Шпаку Сергію Михайловичу на Стратегічному шосе, 24 у Голосіївському районі міста Києва 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2447F374" w:rsidR="00A165E0" w:rsidRPr="00517DDC" w:rsidRDefault="00517DDC" w:rsidP="00D55E97">
      <w:pPr>
        <w:pStyle w:val="16"/>
        <w:numPr>
          <w:ilvl w:val="0"/>
          <w:numId w:val="7"/>
        </w:numPr>
        <w:shd w:val="clear" w:color="auto" w:fill="auto"/>
        <w:spacing w:after="0"/>
        <w:ind w:firstLine="284"/>
        <w:jc w:val="both"/>
        <w:rPr>
          <w:sz w:val="28"/>
          <w:szCs w:val="28"/>
        </w:rPr>
      </w:pPr>
      <w:r w:rsidRPr="0018736C">
        <w:rPr>
          <w:color w:val="000000"/>
          <w:sz w:val="28"/>
          <w:szCs w:val="28"/>
          <w:lang w:bidi="uk-UA"/>
        </w:rPr>
        <w:t xml:space="preserve">Надати громадянину Шпаку Сергію Михайловичу дозвіл на розроблення </w:t>
      </w:r>
      <w:r w:rsidR="005D3477" w:rsidRPr="0018736C">
        <w:rPr>
          <w:sz w:val="28"/>
          <w:szCs w:val="28"/>
        </w:rPr>
        <w:t>проєкту землеустрою щодо відведення земельної ділянки</w:t>
      </w:r>
      <w:r w:rsidR="00547D3B" w:rsidRPr="0018736C">
        <w:rPr>
          <w:sz w:val="28"/>
          <w:szCs w:val="28"/>
        </w:rPr>
        <w:t xml:space="preserve"> </w:t>
      </w:r>
      <w:r w:rsidR="00547D3B" w:rsidRPr="0018736C">
        <w:rPr>
          <w:color w:val="000000"/>
          <w:sz w:val="28"/>
          <w:szCs w:val="28"/>
          <w:lang w:bidi="uk-UA"/>
        </w:rPr>
        <w:t xml:space="preserve">площею </w:t>
      </w:r>
      <w:r w:rsidR="0018736C">
        <w:rPr>
          <w:rStyle w:val="af1"/>
          <w:i w:val="0"/>
          <w:sz w:val="28"/>
          <w:szCs w:val="28"/>
        </w:rPr>
        <w:t>0,0388</w:t>
      </w:r>
      <w:r w:rsidR="00547D3B" w:rsidRPr="0018736C">
        <w:rPr>
          <w:rStyle w:val="af1"/>
          <w:i w:val="0"/>
          <w:sz w:val="28"/>
          <w:szCs w:val="28"/>
        </w:rPr>
        <w:t xml:space="preserve"> га</w:t>
      </w:r>
      <w:r w:rsidR="0018736C">
        <w:rPr>
          <w:rStyle w:val="af1"/>
          <w:i w:val="0"/>
          <w:sz w:val="28"/>
          <w:szCs w:val="28"/>
        </w:rPr>
        <w:t xml:space="preserve"> (кадастровий номер 8000000000:82:273:0023)</w:t>
      </w:r>
      <w:r w:rsidR="00E82A33" w:rsidRPr="0018736C">
        <w:rPr>
          <w:sz w:val="27"/>
          <w:szCs w:val="27"/>
        </w:rPr>
        <w:t xml:space="preserve"> у</w:t>
      </w:r>
      <w:r w:rsidR="00515998" w:rsidRPr="0018736C">
        <w:rPr>
          <w:sz w:val="27"/>
          <w:szCs w:val="27"/>
        </w:rPr>
        <w:t xml:space="preserve"> </w:t>
      </w:r>
      <w:r w:rsidR="00515998" w:rsidRPr="0018736C">
        <w:rPr>
          <w:rStyle w:val="af1"/>
          <w:i w:val="0"/>
          <w:sz w:val="28"/>
          <w:szCs w:val="28"/>
        </w:rPr>
        <w:t>власність</w:t>
      </w:r>
      <w:r w:rsidRPr="0018736C">
        <w:rPr>
          <w:sz w:val="27"/>
          <w:szCs w:val="27"/>
        </w:rPr>
        <w:t xml:space="preserve"> </w:t>
      </w:r>
      <w:r w:rsidR="002D20BE" w:rsidRPr="0018736C">
        <w:rPr>
          <w:color w:val="000000"/>
          <w:sz w:val="28"/>
          <w:szCs w:val="28"/>
          <w:lang w:bidi="uk-UA"/>
        </w:rPr>
        <w:t xml:space="preserve">для будівництва і обслуговування жилого будинку, господарських будівель і споруд </w:t>
      </w:r>
      <w:r w:rsidR="004805FA" w:rsidRPr="0018736C">
        <w:rPr>
          <w:color w:val="000000"/>
          <w:sz w:val="28"/>
          <w:szCs w:val="28"/>
          <w:lang w:bidi="uk-UA"/>
        </w:rPr>
        <w:t xml:space="preserve">на </w:t>
      </w:r>
      <w:r w:rsidR="00EB2B10" w:rsidRPr="0018736C">
        <w:rPr>
          <w:bCs/>
          <w:color w:val="000000"/>
          <w:sz w:val="28"/>
          <w:szCs w:val="28"/>
          <w:lang w:bidi="uk-UA"/>
        </w:rPr>
        <w:t>Стратегічн</w:t>
      </w:r>
      <w:r w:rsidR="0018736C">
        <w:rPr>
          <w:bCs/>
          <w:color w:val="000000"/>
          <w:sz w:val="28"/>
          <w:szCs w:val="28"/>
          <w:lang w:bidi="uk-UA"/>
        </w:rPr>
        <w:t>ому</w:t>
      </w:r>
      <w:r w:rsidR="00EB2B10" w:rsidRPr="0018736C">
        <w:rPr>
          <w:bCs/>
          <w:color w:val="000000"/>
          <w:sz w:val="28"/>
          <w:szCs w:val="28"/>
          <w:lang w:bidi="uk-UA"/>
        </w:rPr>
        <w:t xml:space="preserve"> шосе, 24</w:t>
      </w:r>
      <w:r w:rsidR="004805FA" w:rsidRPr="0018736C">
        <w:rPr>
          <w:color w:val="000000"/>
          <w:sz w:val="28"/>
          <w:szCs w:val="28"/>
          <w:lang w:bidi="uk-UA"/>
        </w:rPr>
        <w:t xml:space="preserve"> у </w:t>
      </w:r>
      <w:r w:rsidR="00EB2B10" w:rsidRPr="0018736C">
        <w:rPr>
          <w:bCs/>
          <w:color w:val="000000"/>
          <w:sz w:val="28"/>
          <w:szCs w:val="28"/>
          <w:lang w:bidi="uk-UA"/>
        </w:rPr>
        <w:t>Голосіївському</w:t>
      </w:r>
      <w:r w:rsidR="00EB2B10" w:rsidRPr="005A143F">
        <w:rPr>
          <w:bCs/>
          <w:color w:val="000000"/>
          <w:sz w:val="28"/>
          <w:szCs w:val="28"/>
          <w:lang w:bidi="uk-UA"/>
        </w:rPr>
        <w:t xml:space="preserve">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 xml:space="preserve">згідно з </w:t>
      </w:r>
      <w:r w:rsidR="0018736C">
        <w:rPr>
          <w:color w:val="000000"/>
          <w:sz w:val="28"/>
          <w:szCs w:val="28"/>
          <w:lang w:bidi="uk-UA"/>
        </w:rPr>
        <w:br/>
      </w:r>
      <w:r>
        <w:rPr>
          <w:color w:val="000000"/>
          <w:sz w:val="28"/>
          <w:szCs w:val="28"/>
          <w:lang w:bidi="uk-UA"/>
        </w:rPr>
        <w:t>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310102151</w:t>
      </w:r>
      <w:r>
        <w:rPr>
          <w:bCs/>
          <w:color w:val="000000"/>
          <w:sz w:val="28"/>
          <w:szCs w:val="28"/>
          <w:lang w:bidi="uk-UA"/>
        </w:rPr>
        <w:t>)</w:t>
      </w:r>
      <w:r w:rsidR="004805FA" w:rsidRPr="005A143F">
        <w:rPr>
          <w:bCs/>
          <w:color w:val="000000"/>
          <w:sz w:val="28"/>
          <w:szCs w:val="28"/>
          <w:lang w:bidi="uk-UA"/>
        </w:rPr>
        <w:t>.</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78DF947F" w:rsidR="00A66DF1" w:rsidRDefault="0018736C"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 xml:space="preserve">ачальник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594AE212" w:rsidR="00CB7B73" w:rsidRPr="00BB44FA" w:rsidRDefault="00DB3B81" w:rsidP="005F17EB">
      <w:pPr>
        <w:rPr>
          <w:lang w:val="en-US" w:eastAsia="uk-UA"/>
        </w:rPr>
      </w:pPr>
      <w:r w:rsidRPr="00517DDC">
        <w:rPr>
          <w:b/>
          <w:bCs/>
          <w:color w:val="000000"/>
          <w:sz w:val="28"/>
          <w:szCs w:val="28"/>
          <w:lang w:val="uk-UA" w:eastAsia="uk-UA"/>
        </w:rPr>
        <w:br w:type="page"/>
      </w:r>
      <w:bookmarkStart w:id="1" w:name="_GoBack"/>
      <w:bookmarkEnd w:id="1"/>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8736C"/>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17EB"/>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2055</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2326</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2023-09-27T06:25:00Z</cp:lastPrinted>
  <dcterms:created xsi:type="dcterms:W3CDTF">2023-10-10T11:23:00Z</dcterms:created>
  <dcterms:modified xsi:type="dcterms:W3CDTF">2023-10-10T11:23:00Z</dcterms:modified>
</cp:coreProperties>
</file>