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205687459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205687459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1FBEF9AF" w:rsidR="008A338E" w:rsidRPr="008819D3" w:rsidRDefault="00B34649" w:rsidP="00037B84">
      <w:pPr>
        <w:pStyle w:val="1"/>
        <w:shd w:val="clear" w:color="auto" w:fill="auto"/>
        <w:jc w:val="center"/>
        <w:rPr>
          <w:b/>
          <w:bCs/>
          <w:i w:val="0"/>
          <w:sz w:val="24"/>
          <w:szCs w:val="24"/>
          <w:lang w:val="ru-RU"/>
        </w:rPr>
      </w:pPr>
      <w:r w:rsidRPr="008819D3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E58838E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8819D3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8819D3">
        <w:rPr>
          <w:b/>
          <w:bCs/>
          <w:i w:val="0"/>
          <w:iCs w:val="0"/>
          <w:sz w:val="24"/>
          <w:szCs w:val="24"/>
        </w:rPr>
        <w:t>ПЗ</w:t>
      </w:r>
      <w:r w:rsidR="00B87AD3" w:rsidRPr="008819D3">
        <w:rPr>
          <w:b/>
          <w:bCs/>
          <w:i w:val="0"/>
          <w:iCs w:val="0"/>
          <w:sz w:val="24"/>
          <w:szCs w:val="24"/>
        </w:rPr>
        <w:t>Н</w:t>
      </w:r>
      <w:r w:rsidR="00C55118" w:rsidRPr="008819D3">
        <w:rPr>
          <w:b/>
          <w:bCs/>
          <w:i w:val="0"/>
          <w:sz w:val="24"/>
          <w:szCs w:val="24"/>
          <w:lang w:val="ru-RU"/>
        </w:rPr>
        <w:t>-50954</w:t>
      </w:r>
      <w:r w:rsidR="007B72F8" w:rsidRPr="008819D3">
        <w:rPr>
          <w:b/>
          <w:bCs/>
          <w:i w:val="0"/>
          <w:iCs w:val="0"/>
          <w:sz w:val="24"/>
          <w:szCs w:val="24"/>
        </w:rPr>
        <w:t xml:space="preserve"> від </w:t>
      </w:r>
      <w:r w:rsidR="008819D3" w:rsidRPr="008819D3">
        <w:rPr>
          <w:b/>
          <w:bCs/>
          <w:i w:val="0"/>
          <w:sz w:val="24"/>
          <w:szCs w:val="24"/>
          <w:lang w:val="ru-RU"/>
        </w:rPr>
        <w:t>26.04</w:t>
      </w:r>
      <w:r w:rsidR="00C55118" w:rsidRPr="008819D3">
        <w:rPr>
          <w:b/>
          <w:bCs/>
          <w:i w:val="0"/>
          <w:sz w:val="24"/>
          <w:szCs w:val="24"/>
          <w:lang w:val="ru-RU"/>
        </w:rPr>
        <w:t>.2023</w:t>
      </w:r>
    </w:p>
    <w:p w14:paraId="41C95576" w14:textId="488A1F34" w:rsidR="008A338E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CB105DB" w:rsidR="00343979" w:rsidRDefault="001176E9" w:rsidP="00BC10DA">
      <w:pPr>
        <w:pStyle w:val="a4"/>
        <w:shd w:val="clear" w:color="auto" w:fill="auto"/>
        <w:spacing w:after="140"/>
        <w:ind w:right="2456"/>
        <w:jc w:val="center"/>
        <w:rPr>
          <w:b/>
          <w:i/>
          <w:sz w:val="24"/>
          <w:szCs w:val="24"/>
        </w:rPr>
      </w:pPr>
      <w:r w:rsidRPr="001176E9">
        <w:rPr>
          <w:b/>
          <w:i/>
          <w:sz w:val="24"/>
          <w:szCs w:val="24"/>
        </w:rPr>
        <w:t xml:space="preserve">Про поновлення </w:t>
      </w:r>
      <w:r w:rsidRPr="001176E9">
        <w:rPr>
          <w:b/>
          <w:i/>
          <w:sz w:val="24"/>
          <w:szCs w:val="24"/>
          <w:highlight w:val="white"/>
        </w:rPr>
        <w:t>товариству з обмеженою відповідальністю «ЦЕНТР - ІНВЕСТ»</w:t>
      </w:r>
      <w:r w:rsidRPr="001176E9">
        <w:rPr>
          <w:b/>
          <w:i/>
          <w:sz w:val="24"/>
          <w:szCs w:val="24"/>
        </w:rPr>
        <w:t xml:space="preserve"> договору оренди земельної ділянки                    </w:t>
      </w:r>
      <w:r w:rsidR="008819D3" w:rsidRPr="008819D3">
        <w:rPr>
          <w:b/>
          <w:i/>
          <w:sz w:val="24"/>
          <w:szCs w:val="24"/>
        </w:rPr>
        <w:t xml:space="preserve">від 22 квітня 2008 року № 72-6-00509а </w:t>
      </w:r>
      <w:r w:rsidR="00796070" w:rsidRPr="00796070">
        <w:rPr>
          <w:b/>
          <w:i/>
          <w:sz w:val="24"/>
          <w:szCs w:val="24"/>
        </w:rPr>
        <w:t xml:space="preserve">та внесення </w:t>
      </w:r>
      <w:r w:rsidR="00796070">
        <w:rPr>
          <w:b/>
          <w:i/>
          <w:sz w:val="24"/>
          <w:szCs w:val="24"/>
        </w:rPr>
        <w:t xml:space="preserve">                        </w:t>
      </w:r>
      <w:r w:rsidR="00796070" w:rsidRPr="00796070">
        <w:rPr>
          <w:b/>
          <w:i/>
          <w:sz w:val="24"/>
          <w:szCs w:val="24"/>
        </w:rPr>
        <w:t>змін до нього</w:t>
      </w:r>
    </w:p>
    <w:p w14:paraId="04A53D07" w14:textId="5A026D8D" w:rsidR="00694D51" w:rsidRPr="00FC32B6" w:rsidRDefault="007B72F8" w:rsidP="00BC10D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</w:t>
      </w:r>
      <w:r w:rsidR="00FE4F07">
        <w:rPr>
          <w:sz w:val="24"/>
          <w:szCs w:val="24"/>
        </w:rPr>
        <w:t>і</w:t>
      </w:r>
      <w:r w:rsidRPr="00037B84">
        <w:rPr>
          <w:sz w:val="24"/>
          <w:szCs w:val="24"/>
        </w:rPr>
        <w:t xml:space="preserve"> особ</w:t>
      </w:r>
      <w:r w:rsidR="00FE4F07">
        <w:rPr>
          <w:sz w:val="24"/>
          <w:szCs w:val="24"/>
        </w:rPr>
        <w:t>и</w:t>
      </w:r>
      <w:r w:rsidRPr="00037B84">
        <w:rPr>
          <w:sz w:val="24"/>
          <w:szCs w:val="24"/>
        </w:rPr>
        <w:t>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5D5AF6C7" w14:textId="77777777" w:rsidR="00E94376" w:rsidRDefault="00C55118" w:rsidP="001176E9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  <w:lang w:bidi="ar-SA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«ЦЕНТР - ІНВЕСТ»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7D7F57">
              <w:rPr>
                <w:i/>
                <w:sz w:val="24"/>
                <w:szCs w:val="24"/>
              </w:rPr>
              <w:t>(</w:t>
            </w:r>
            <w:r w:rsidR="00FF0A55" w:rsidRPr="007D7F57">
              <w:rPr>
                <w:i/>
                <w:sz w:val="24"/>
                <w:szCs w:val="24"/>
              </w:rPr>
              <w:t>ЄДРПОУ</w:t>
            </w:r>
            <w:r w:rsidR="002B5778" w:rsidRPr="007D7F57">
              <w:rPr>
                <w:i/>
                <w:sz w:val="24"/>
                <w:szCs w:val="24"/>
              </w:rPr>
              <w:t xml:space="preserve"> </w:t>
            </w:r>
            <w:r w:rsidR="000B1E6A" w:rsidRPr="007D7F57">
              <w:rPr>
                <w:i/>
                <w:color w:val="auto"/>
                <w:sz w:val="24"/>
                <w:szCs w:val="24"/>
                <w:lang w:bidi="ar-SA"/>
              </w:rPr>
              <w:t>32820420)</w:t>
            </w:r>
          </w:p>
          <w:p w14:paraId="3F99415B" w14:textId="26ADA30B" w:rsidR="00BC10DA" w:rsidRPr="00BC10DA" w:rsidRDefault="00BC10DA" w:rsidP="00BC10D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1176E9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1176E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1176E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1176E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176E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BBB2F3B" w14:textId="77777777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ТУЖИКОВ ГЕННАДІЙ АНАТОЛІЙОВИЧ</w:t>
            </w:r>
          </w:p>
          <w:p w14:paraId="070FDC07" w14:textId="7B0EB254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Pr="001176E9">
              <w:rPr>
                <w:i/>
                <w:sz w:val="24"/>
                <w:szCs w:val="24"/>
              </w:rPr>
              <w:t>дреса засновника: Кіпр, 4040, місто Лімасол, Гєрмасойя, вулиця Гура, будинок № 6;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088752C" w14:textId="0BABA0CD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Розмір внеску до статутного фонду: 11 990 248,58 грн</w:t>
            </w:r>
            <w:r>
              <w:rPr>
                <w:i/>
                <w:sz w:val="24"/>
                <w:szCs w:val="24"/>
              </w:rPr>
              <w:t>;</w:t>
            </w:r>
          </w:p>
          <w:p w14:paraId="2D1665D2" w14:textId="2A4D6E6E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Частка: 50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176E9">
              <w:rPr>
                <w:i/>
                <w:sz w:val="24"/>
                <w:szCs w:val="24"/>
              </w:rPr>
              <w:t>%</w:t>
            </w:r>
            <w:r w:rsidR="00692CD2">
              <w:rPr>
                <w:i/>
                <w:sz w:val="24"/>
                <w:szCs w:val="24"/>
              </w:rPr>
              <w:t>;</w:t>
            </w:r>
          </w:p>
          <w:p w14:paraId="54E6040B" w14:textId="77777777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Гандзюк Андрій Миколайович</w:t>
            </w:r>
          </w:p>
          <w:p w14:paraId="173601C6" w14:textId="0C3AEBDB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Pr="001176E9">
              <w:rPr>
                <w:i/>
                <w:sz w:val="24"/>
                <w:szCs w:val="24"/>
              </w:rPr>
              <w:t xml:space="preserve">дреса засновника: Україна, 03150, місто Київ, </w:t>
            </w:r>
            <w:r>
              <w:rPr>
                <w:i/>
                <w:sz w:val="24"/>
                <w:szCs w:val="24"/>
              </w:rPr>
              <w:t xml:space="preserve">                                 </w:t>
            </w:r>
            <w:r w:rsidRPr="001176E9">
              <w:rPr>
                <w:i/>
                <w:sz w:val="24"/>
                <w:szCs w:val="24"/>
              </w:rPr>
              <w:t>вул.</w:t>
            </w:r>
            <w:r>
              <w:rPr>
                <w:i/>
                <w:sz w:val="24"/>
                <w:szCs w:val="24"/>
              </w:rPr>
              <w:t xml:space="preserve"> Антоновича;</w:t>
            </w:r>
          </w:p>
          <w:p w14:paraId="1E08ED90" w14:textId="3614DDDE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Розмір внеску до статутного фонду: 11 990 248,58 грн</w:t>
            </w:r>
            <w:r w:rsidR="00692CD2">
              <w:rPr>
                <w:i/>
                <w:sz w:val="24"/>
                <w:szCs w:val="24"/>
              </w:rPr>
              <w:t>;</w:t>
            </w:r>
          </w:p>
          <w:p w14:paraId="6643096C" w14:textId="710C04F9" w:rsidR="00E94376" w:rsidRPr="00123E08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Частка: 50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176E9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FE2444F" w14:textId="77777777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Тужиков Геннадій Анатолійович</w:t>
            </w:r>
          </w:p>
          <w:p w14:paraId="46634EBC" w14:textId="4F4C96E0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 xml:space="preserve">Кіпр, 4040, місто Лімасол, Гєрмасойя, вулиця Гура, </w:t>
            </w:r>
            <w:r>
              <w:rPr>
                <w:i/>
                <w:sz w:val="24"/>
                <w:szCs w:val="24"/>
              </w:rPr>
              <w:t xml:space="preserve">               </w:t>
            </w:r>
            <w:r w:rsidRPr="001176E9">
              <w:rPr>
                <w:i/>
                <w:sz w:val="24"/>
                <w:szCs w:val="24"/>
              </w:rPr>
              <w:t>будинок № 6;</w:t>
            </w:r>
          </w:p>
          <w:p w14:paraId="5604010B" w14:textId="7B6F3FB8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Тип бенефіціарного володіння: Прямий вирішальний вплив</w:t>
            </w:r>
            <w:r w:rsidR="00692CD2">
              <w:rPr>
                <w:i/>
                <w:sz w:val="24"/>
                <w:szCs w:val="24"/>
              </w:rPr>
              <w:t>;</w:t>
            </w:r>
          </w:p>
          <w:p w14:paraId="4AA44AC2" w14:textId="60518876" w:rsidR="00E94376" w:rsidRDefault="001176E9" w:rsidP="001176E9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50</w:t>
            </w:r>
            <w:r w:rsidR="00692CD2">
              <w:rPr>
                <w:i/>
                <w:sz w:val="24"/>
                <w:szCs w:val="24"/>
              </w:rPr>
              <w:t>;</w:t>
            </w:r>
          </w:p>
          <w:p w14:paraId="6E92EEBF" w14:textId="77777777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Гандзюк Андрій Миколайович</w:t>
            </w:r>
          </w:p>
          <w:p w14:paraId="15DE143E" w14:textId="2C35B689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Україна, 03150, місто Київ, вул.</w:t>
            </w:r>
            <w:r>
              <w:rPr>
                <w:i/>
                <w:sz w:val="24"/>
                <w:szCs w:val="24"/>
              </w:rPr>
              <w:t xml:space="preserve"> Антоновича;</w:t>
            </w:r>
          </w:p>
          <w:p w14:paraId="44DC6945" w14:textId="77777777" w:rsidR="001176E9" w:rsidRPr="001176E9" w:rsidRDefault="001176E9" w:rsidP="001176E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Тип бенефіціарного володіння: Прямий вирішальний вплив</w:t>
            </w:r>
          </w:p>
          <w:p w14:paraId="1C7A8B69" w14:textId="41F24BC0" w:rsidR="001176E9" w:rsidRPr="00037B84" w:rsidRDefault="001176E9" w:rsidP="001176E9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50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993022" w:rsidRPr="00037B84" w14:paraId="229CDCE6" w14:textId="77777777" w:rsidTr="00430CA4">
        <w:trPr>
          <w:cantSplit/>
          <w:trHeight w:val="704"/>
        </w:trPr>
        <w:tc>
          <w:tcPr>
            <w:tcW w:w="2977" w:type="dxa"/>
          </w:tcPr>
          <w:p w14:paraId="57F2B865" w14:textId="5F0845EC" w:rsidR="00993022" w:rsidRDefault="00993022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93022">
              <w:rPr>
                <w:b w:val="0"/>
                <w:i/>
                <w:sz w:val="24"/>
                <w:szCs w:val="24"/>
                <w:lang w:val="en-US"/>
              </w:rPr>
              <w:t>Назва</w:t>
            </w:r>
            <w:r w:rsidRPr="00993022">
              <w:rPr>
                <w:b w:val="0"/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6662" w:type="dxa"/>
          </w:tcPr>
          <w:p w14:paraId="1598D129" w14:textId="3EBE72B5" w:rsidR="00C846C0" w:rsidRPr="001176E9" w:rsidRDefault="00993022" w:rsidP="00692CD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993022">
              <w:rPr>
                <w:i/>
                <w:sz w:val="24"/>
                <w:szCs w:val="24"/>
              </w:rPr>
              <w:t>ТОВАРИСТВО З ОБМЕЖЕНОЮ ВІДПОВІДАЛЬНІСТЮ «БЦ ІЛЕВЕН» (ЄДРПОУ: 40732355)</w:t>
            </w:r>
          </w:p>
        </w:tc>
      </w:tr>
      <w:tr w:rsidR="00C846C0" w:rsidRPr="00037B84" w14:paraId="761E3858" w14:textId="77777777" w:rsidTr="00373D23">
        <w:trPr>
          <w:cantSplit/>
          <w:trHeight w:val="5520"/>
        </w:trPr>
        <w:tc>
          <w:tcPr>
            <w:tcW w:w="2977" w:type="dxa"/>
          </w:tcPr>
          <w:p w14:paraId="31F722F9" w14:textId="347C45E6" w:rsidR="00C846C0" w:rsidRPr="00993022" w:rsidRDefault="00C846C0" w:rsidP="00993022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93022">
              <w:rPr>
                <w:b w:val="0"/>
                <w:i/>
                <w:sz w:val="24"/>
                <w:szCs w:val="24"/>
                <w:lang w:val="ru-RU"/>
              </w:rPr>
              <w:t>Перелік засновників</w:t>
            </w:r>
          </w:p>
          <w:p w14:paraId="71058172" w14:textId="77777777" w:rsidR="00C846C0" w:rsidRPr="00993022" w:rsidRDefault="00C846C0" w:rsidP="00993022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993022">
              <w:rPr>
                <w:b w:val="0"/>
                <w:i/>
                <w:sz w:val="24"/>
                <w:szCs w:val="24"/>
                <w:lang w:val="ru-RU"/>
              </w:rPr>
              <w:t xml:space="preserve"> (учасників) юридичної  </w:t>
            </w:r>
          </w:p>
          <w:p w14:paraId="6CA29A80" w14:textId="7B43EE31" w:rsidR="00C846C0" w:rsidRPr="00993022" w:rsidRDefault="00C846C0" w:rsidP="00993022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993022">
              <w:rPr>
                <w:b w:val="0"/>
                <w:i/>
                <w:sz w:val="24"/>
                <w:szCs w:val="24"/>
                <w:lang w:val="ru-RU"/>
              </w:rPr>
              <w:t xml:space="preserve"> особи*</w:t>
            </w:r>
          </w:p>
        </w:tc>
        <w:tc>
          <w:tcPr>
            <w:tcW w:w="6662" w:type="dxa"/>
          </w:tcPr>
          <w:p w14:paraId="76F9384E" w14:textId="3301DEEB" w:rsidR="00C846C0" w:rsidRPr="00993022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>LHOTSE LTD (ТОВАРИСТВ</w:t>
            </w:r>
            <w:r>
              <w:rPr>
                <w:i/>
                <w:sz w:val="24"/>
                <w:szCs w:val="24"/>
                <w:lang w:val="ru-RU"/>
              </w:rPr>
              <w:t>О З ОБМЕЖЕНОЮ ВІДПОВІДАЛЬНІСТЮ «</w:t>
            </w:r>
            <w:r w:rsidRPr="00993022">
              <w:rPr>
                <w:i/>
                <w:sz w:val="24"/>
                <w:szCs w:val="24"/>
                <w:lang w:val="ru-RU"/>
              </w:rPr>
              <w:t>ЛОТС ЛТД</w:t>
            </w:r>
            <w:r>
              <w:rPr>
                <w:i/>
                <w:sz w:val="24"/>
                <w:szCs w:val="24"/>
                <w:lang w:val="ru-RU"/>
              </w:rPr>
              <w:t>»</w:t>
            </w:r>
            <w:r w:rsidRPr="00993022">
              <w:rPr>
                <w:i/>
                <w:sz w:val="24"/>
                <w:szCs w:val="24"/>
                <w:lang w:val="ru-RU"/>
              </w:rPr>
              <w:t>)</w:t>
            </w:r>
          </w:p>
          <w:p w14:paraId="51F2040B" w14:textId="6225EA95" w:rsidR="00C846C0" w:rsidRPr="00993022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а</w:t>
            </w:r>
            <w:r w:rsidRPr="00993022">
              <w:rPr>
                <w:i/>
                <w:sz w:val="24"/>
                <w:szCs w:val="24"/>
                <w:lang w:val="ru-RU"/>
              </w:rPr>
              <w:t>дреса засновника: Кіпр, СПИРУ КІПРІ</w:t>
            </w:r>
            <w:r>
              <w:rPr>
                <w:i/>
                <w:sz w:val="24"/>
                <w:szCs w:val="24"/>
                <w:lang w:val="ru-RU"/>
              </w:rPr>
              <w:t>АНУ, 61, СК ХАУС 4003, ЛІМАСОЛ;</w:t>
            </w:r>
          </w:p>
          <w:p w14:paraId="15A331A9" w14:textId="130500D8" w:rsidR="00C846C0" w:rsidRPr="00993022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>Розмір внеску до статутного фонду: 11 637 594,21 грн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14:paraId="7C992EAB" w14:textId="078B0F8C" w:rsidR="00C846C0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>Частка: 25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93022">
              <w:rPr>
                <w:i/>
                <w:sz w:val="24"/>
                <w:szCs w:val="24"/>
                <w:lang w:val="ru-RU"/>
              </w:rPr>
              <w:t>%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14:paraId="1C8C501D" w14:textId="77777777" w:rsidR="00C846C0" w:rsidRPr="00993022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>ГАНДЗЮК АНДРІЙ МИКОЛАЙОВИЧ</w:t>
            </w:r>
          </w:p>
          <w:p w14:paraId="1700B55D" w14:textId="77777777" w:rsidR="00C846C0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 xml:space="preserve">Адреса засновника: Україна, 03150, місто Київ, </w:t>
            </w:r>
          </w:p>
          <w:p w14:paraId="4DEA27ED" w14:textId="233E1218" w:rsidR="00C846C0" w:rsidRPr="00993022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 xml:space="preserve">ВУЛИЦЯ ГОРЬКОГО, </w:t>
            </w:r>
          </w:p>
          <w:p w14:paraId="4C4B86D8" w14:textId="63452A35" w:rsidR="00C846C0" w:rsidRPr="00993022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>Розмір внеску до статутного фонду: 4 655 037,69 грн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14:paraId="03024D74" w14:textId="6BC8C7D8" w:rsidR="00C846C0" w:rsidRDefault="00C846C0" w:rsidP="00993022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993022">
              <w:rPr>
                <w:i/>
                <w:sz w:val="24"/>
                <w:szCs w:val="24"/>
                <w:lang w:val="ru-RU"/>
              </w:rPr>
              <w:t>Частка: 10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93022">
              <w:rPr>
                <w:i/>
                <w:sz w:val="24"/>
                <w:szCs w:val="24"/>
                <w:lang w:val="ru-RU"/>
              </w:rPr>
              <w:t>%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14:paraId="02832F0B" w14:textId="77777777" w:rsidR="00C846C0" w:rsidRPr="00C846C0" w:rsidRDefault="00C846C0" w:rsidP="00C846C0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C846C0">
              <w:rPr>
                <w:i/>
                <w:sz w:val="24"/>
                <w:szCs w:val="24"/>
                <w:lang w:val="ru-RU"/>
              </w:rPr>
              <w:t>ТУЖИКОВ ГЕННАДІЙ АНАТОЛІЙОВИЧ</w:t>
            </w:r>
          </w:p>
          <w:p w14:paraId="7DB068F2" w14:textId="77777777" w:rsidR="00C846C0" w:rsidRPr="00C846C0" w:rsidRDefault="00C846C0" w:rsidP="00C846C0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C846C0">
              <w:rPr>
                <w:i/>
                <w:sz w:val="24"/>
                <w:szCs w:val="24"/>
                <w:lang w:val="ru-RU"/>
              </w:rPr>
              <w:t>Адреса засновника: Кіпр, 4040, місто Л</w:t>
            </w:r>
            <w:r>
              <w:rPr>
                <w:i/>
                <w:sz w:val="24"/>
                <w:szCs w:val="24"/>
                <w:lang w:val="ru-RU"/>
              </w:rPr>
              <w:t>імасол, Гєрмасойя, вулиця Гура;</w:t>
            </w:r>
          </w:p>
          <w:p w14:paraId="73B715B5" w14:textId="1EF6E683" w:rsidR="00C846C0" w:rsidRPr="00C846C0" w:rsidRDefault="00C846C0" w:rsidP="00C846C0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C846C0">
              <w:rPr>
                <w:i/>
                <w:sz w:val="24"/>
                <w:szCs w:val="24"/>
                <w:lang w:val="ru-RU"/>
              </w:rPr>
              <w:t>Розмір внеску до статутного фонду: 11 637 594,21 грн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14:paraId="51C8B305" w14:textId="730D77C5" w:rsidR="00C846C0" w:rsidRDefault="00C846C0" w:rsidP="00C846C0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C846C0">
              <w:rPr>
                <w:i/>
                <w:sz w:val="24"/>
                <w:szCs w:val="24"/>
                <w:lang w:val="ru-RU"/>
              </w:rPr>
              <w:t>Частка: 25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846C0">
              <w:rPr>
                <w:i/>
                <w:sz w:val="24"/>
                <w:szCs w:val="24"/>
                <w:lang w:val="ru-RU"/>
              </w:rPr>
              <w:t>%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14:paraId="77809E28" w14:textId="77777777" w:rsidR="00692CD2" w:rsidRPr="00692CD2" w:rsidRDefault="00692CD2" w:rsidP="00692CD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ГАНДЗЮК КОСТЯНТИН АНДРІЙОВИЧ</w:t>
            </w:r>
          </w:p>
          <w:p w14:paraId="1C405A19" w14:textId="77777777" w:rsidR="00692CD2" w:rsidRPr="00692CD2" w:rsidRDefault="00692CD2" w:rsidP="00692CD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Адреса засновника: Україна, 03150, місто Київ,                  ВУЛИЦЯ ГОРЬКОГО;</w:t>
            </w:r>
          </w:p>
          <w:p w14:paraId="6BCD2468" w14:textId="77777777" w:rsidR="00692CD2" w:rsidRPr="00692CD2" w:rsidRDefault="00692CD2" w:rsidP="00692CD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Розмір внеску до статутного фонду: 3 491 278,26 грн;</w:t>
            </w:r>
          </w:p>
          <w:p w14:paraId="37FA93E1" w14:textId="77777777" w:rsidR="00692CD2" w:rsidRPr="00692CD2" w:rsidRDefault="00692CD2" w:rsidP="00692CD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Частка: 7,50 %;</w:t>
            </w:r>
          </w:p>
          <w:p w14:paraId="350E068E" w14:textId="405E37E3" w:rsidR="00C846C0" w:rsidRPr="00993022" w:rsidRDefault="00C846C0" w:rsidP="00C846C0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C846C0" w:rsidRPr="00037B84" w14:paraId="14812C00" w14:textId="77777777" w:rsidTr="00430CA4">
        <w:trPr>
          <w:cantSplit/>
          <w:trHeight w:val="704"/>
        </w:trPr>
        <w:tc>
          <w:tcPr>
            <w:tcW w:w="2977" w:type="dxa"/>
          </w:tcPr>
          <w:p w14:paraId="4B08E607" w14:textId="77777777" w:rsidR="00C846C0" w:rsidRDefault="00C846C0" w:rsidP="00993022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69A42EEF" w14:textId="77777777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ГАНДЗЮК ГЛІБ АНДРІЙОВИЧ</w:t>
            </w:r>
          </w:p>
          <w:p w14:paraId="5AA970B2" w14:textId="4E8D8D8F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 xml:space="preserve">Адреса засновника: Україна, 03150, місто Київ,                   ВУЛИЦЯ ГОРЬКОГО; </w:t>
            </w:r>
          </w:p>
          <w:p w14:paraId="30E178F4" w14:textId="06DA26B9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Розмір внеску до статутного фонду: 3 491 278,26 грн;</w:t>
            </w:r>
          </w:p>
          <w:p w14:paraId="49215D02" w14:textId="4B5C4CDA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Частка: 7,50 %;</w:t>
            </w:r>
          </w:p>
          <w:p w14:paraId="091235DA" w14:textId="77777777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ЄЩЕНКО ОЛЬГА КОСТЯНТИНІВНА</w:t>
            </w:r>
          </w:p>
          <w:p w14:paraId="1AA8AECF" w14:textId="57251C40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адреса засновника: Україна, 08711, Київська обл., Обухівський р-н, селище міського типу Козин,                                    вул. Лобановського, будинок;</w:t>
            </w:r>
          </w:p>
          <w:p w14:paraId="42FF74D6" w14:textId="5151FD11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Розмір внеску до статутного фонду: 11 637 594,21 грн</w:t>
            </w:r>
            <w:r w:rsidR="00692CD2">
              <w:rPr>
                <w:i/>
                <w:sz w:val="24"/>
                <w:szCs w:val="24"/>
              </w:rPr>
              <w:t>;</w:t>
            </w:r>
          </w:p>
          <w:p w14:paraId="2F6D707D" w14:textId="63BE8E57" w:rsidR="00C846C0" w:rsidRPr="00692CD2" w:rsidRDefault="00C846C0" w:rsidP="00C846C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92CD2">
              <w:rPr>
                <w:i/>
                <w:sz w:val="24"/>
                <w:szCs w:val="24"/>
              </w:rPr>
              <w:t>Частка (%): 25 %</w:t>
            </w:r>
            <w:r w:rsidR="00692CD2">
              <w:rPr>
                <w:i/>
                <w:sz w:val="24"/>
                <w:szCs w:val="24"/>
              </w:rPr>
              <w:t>.</w:t>
            </w:r>
          </w:p>
        </w:tc>
      </w:tr>
      <w:tr w:rsidR="00C846C0" w:rsidRPr="00037B84" w14:paraId="513B7F09" w14:textId="77777777" w:rsidTr="00430CA4">
        <w:trPr>
          <w:cantSplit/>
          <w:trHeight w:val="704"/>
        </w:trPr>
        <w:tc>
          <w:tcPr>
            <w:tcW w:w="2977" w:type="dxa"/>
          </w:tcPr>
          <w:p w14:paraId="5F3F0B76" w14:textId="7DBFBFB3" w:rsidR="00C846C0" w:rsidRDefault="00C846C0" w:rsidP="00C846C0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7DB9FA3F" w14:textId="10A786CF" w:rsidR="00C846C0" w:rsidRDefault="00C846C0" w:rsidP="00C846C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5F3F63C7" w14:textId="09A7C585" w:rsidR="00C846C0" w:rsidRPr="00692CD2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Тужиков Геннадій Анатолійович</w:t>
            </w:r>
            <w:r w:rsidRPr="00692CD2">
              <w:rPr>
                <w:b/>
                <w:i/>
                <w:lang w:val="uk-UA"/>
              </w:rPr>
              <w:br/>
              <w:t>Кіпр, 4040, місто Лімасол, Гєрмасойя, вулиця Гура,   будинок № </w:t>
            </w:r>
            <w:r w:rsidRPr="00692CD2">
              <w:rPr>
                <w:b/>
                <w:i/>
                <w:bdr w:val="none" w:sz="0" w:space="0" w:color="auto" w:frame="1"/>
                <w:lang w:val="uk-UA"/>
              </w:rPr>
              <w:t>2;</w:t>
            </w:r>
          </w:p>
          <w:p w14:paraId="1DE3A010" w14:textId="1177ADDE" w:rsidR="00C846C0" w:rsidRPr="00692CD2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Тип бенефіціарного володіння: </w:t>
            </w:r>
            <w:r w:rsidRPr="00692CD2">
              <w:rPr>
                <w:b/>
                <w:i/>
                <w:lang w:val="uk-UA"/>
              </w:rPr>
              <w:t>Прямий вирішальний вплив</w:t>
            </w:r>
            <w:r w:rsidR="00692CD2">
              <w:rPr>
                <w:b/>
                <w:i/>
                <w:lang w:val="uk-UA"/>
              </w:rPr>
              <w:t>;</w:t>
            </w:r>
          </w:p>
          <w:p w14:paraId="40804653" w14:textId="0827336B" w:rsidR="00C846C0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692CD2">
              <w:rPr>
                <w:b/>
                <w:i/>
                <w:lang w:val="uk-UA"/>
              </w:rPr>
              <w:t>25</w:t>
            </w:r>
            <w:r w:rsidR="00692CD2">
              <w:rPr>
                <w:b/>
                <w:i/>
                <w:lang w:val="uk-UA"/>
              </w:rPr>
              <w:t>;</w:t>
            </w:r>
          </w:p>
          <w:p w14:paraId="1416C70E" w14:textId="31727D31" w:rsidR="00C846C0" w:rsidRPr="00692CD2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Єщенко Ольга Костянтинівна</w:t>
            </w:r>
            <w:r w:rsidRPr="00692CD2">
              <w:rPr>
                <w:b/>
                <w:i/>
                <w:lang w:val="uk-UA"/>
              </w:rPr>
              <w:br/>
              <w:t xml:space="preserve">Україна, 08711, Київська обл., Обухівський р-н, </w:t>
            </w:r>
            <w:r w:rsidR="00692CD2">
              <w:rPr>
                <w:b/>
                <w:i/>
                <w:lang w:val="uk-UA"/>
              </w:rPr>
              <w:t xml:space="preserve">                    </w:t>
            </w:r>
            <w:r w:rsidRPr="00692CD2">
              <w:rPr>
                <w:b/>
                <w:i/>
                <w:lang w:val="uk-UA"/>
              </w:rPr>
              <w:t>селище міського типу Козин, вул.</w:t>
            </w:r>
            <w:r w:rsidR="00692CD2">
              <w:rPr>
                <w:b/>
                <w:i/>
                <w:lang w:val="uk-UA"/>
              </w:rPr>
              <w:t xml:space="preserve"> </w:t>
            </w:r>
            <w:r w:rsidRPr="00692CD2">
              <w:rPr>
                <w:b/>
                <w:i/>
                <w:lang w:val="uk-UA"/>
              </w:rPr>
              <w:t>Лобановського, будинок </w:t>
            </w:r>
            <w:hyperlink r:id="rId11" w:tooltip="Відкрити всі дані" w:history="1">
              <w:r w:rsidRPr="00692CD2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12</w:t>
              </w:r>
            </w:hyperlink>
            <w:r w:rsidR="00692CD2">
              <w:rPr>
                <w:b/>
                <w:i/>
                <w:lang w:val="uk-UA"/>
              </w:rPr>
              <w:t>;</w:t>
            </w:r>
          </w:p>
          <w:p w14:paraId="48DF22F3" w14:textId="77777777" w:rsidR="00C846C0" w:rsidRPr="00692CD2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Тип бенефіціарного володіння: </w:t>
            </w:r>
            <w:r w:rsidRPr="00692CD2">
              <w:rPr>
                <w:b/>
                <w:i/>
                <w:lang w:val="uk-UA"/>
              </w:rPr>
              <w:t>Прямий вирішальний вплив</w:t>
            </w:r>
          </w:p>
          <w:p w14:paraId="334CAD54" w14:textId="1C8B4971" w:rsidR="00C846C0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692CD2">
              <w:rPr>
                <w:b/>
                <w:i/>
                <w:lang w:val="uk-UA"/>
              </w:rPr>
              <w:t>25</w:t>
            </w:r>
            <w:r w:rsidR="00692CD2">
              <w:rPr>
                <w:b/>
                <w:i/>
                <w:lang w:val="uk-UA"/>
              </w:rPr>
              <w:t>;</w:t>
            </w:r>
          </w:p>
          <w:p w14:paraId="1FA23C52" w14:textId="32A57066" w:rsidR="00C846C0" w:rsidRPr="00692CD2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Лютан Віктор Іванович</w:t>
            </w:r>
            <w:r w:rsidRPr="00692CD2">
              <w:rPr>
                <w:b/>
                <w:i/>
                <w:lang w:val="uk-UA"/>
              </w:rPr>
              <w:br/>
              <w:t>Україна, 03066, місто Київ, вул.</w:t>
            </w:r>
            <w:r w:rsidR="00692CD2">
              <w:rPr>
                <w:b/>
                <w:i/>
                <w:lang w:val="uk-UA"/>
              </w:rPr>
              <w:t xml:space="preserve"> </w:t>
            </w:r>
            <w:r w:rsidRPr="00692CD2">
              <w:rPr>
                <w:b/>
                <w:i/>
                <w:lang w:val="uk-UA"/>
              </w:rPr>
              <w:t>Богомазова Олександра, будинок </w:t>
            </w:r>
            <w:hyperlink r:id="rId12" w:tooltip="Відкрити всі дані" w:history="1">
              <w:r w:rsidRPr="00692CD2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21</w:t>
              </w:r>
            </w:hyperlink>
            <w:r w:rsidR="00692CD2">
              <w:rPr>
                <w:b/>
                <w:i/>
                <w:lang w:val="uk-UA"/>
              </w:rPr>
              <w:t>;</w:t>
            </w:r>
          </w:p>
          <w:p w14:paraId="2DF0D03C" w14:textId="2B3D2B49" w:rsidR="00C846C0" w:rsidRPr="00692CD2" w:rsidRDefault="00C846C0" w:rsidP="00C846C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Тип бенефіціарного володіння: </w:t>
            </w:r>
            <w:r w:rsidRPr="00692CD2">
              <w:rPr>
                <w:b/>
                <w:i/>
                <w:lang w:val="uk-UA"/>
              </w:rPr>
              <w:t>Не прямий вирішальний вплив</w:t>
            </w:r>
            <w:r w:rsidR="00692CD2">
              <w:rPr>
                <w:b/>
                <w:i/>
                <w:lang w:val="uk-UA"/>
              </w:rPr>
              <w:t>;</w:t>
            </w:r>
          </w:p>
          <w:p w14:paraId="62C240C4" w14:textId="6E12619D" w:rsidR="00C846C0" w:rsidRPr="00692CD2" w:rsidRDefault="00C846C0" w:rsidP="00692CD2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692CD2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692CD2">
              <w:rPr>
                <w:b/>
                <w:i/>
                <w:lang w:val="uk-UA"/>
              </w:rPr>
              <w:t>25</w:t>
            </w:r>
            <w:r w:rsidR="008819D3">
              <w:rPr>
                <w:b/>
                <w:i/>
                <w:lang w:val="uk-UA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99302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436E8149" w:rsidR="00BC10DA" w:rsidRPr="00694D51" w:rsidRDefault="00E94376" w:rsidP="00BC10DA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23.01.2023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205687459</w:t>
            </w:r>
            <w:r w:rsidR="002B1FF2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8000000000:72:185:0010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Солом'янська, 11  у Солом'янському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176E9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1,0863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BC10DA">
        <w:trPr>
          <w:trHeight w:val="40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26A565B9" w:rsidR="008A338E" w:rsidRPr="00123E08" w:rsidRDefault="00CC4E46" w:rsidP="007D7F57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1176E9">
              <w:rPr>
                <w:b/>
                <w:i/>
                <w:sz w:val="24"/>
                <w:szCs w:val="24"/>
                <w:lang w:val="ru-RU"/>
              </w:rPr>
              <w:t xml:space="preserve">5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08423E1" w14:textId="77777777" w:rsidR="007D7F57" w:rsidRDefault="00776E89" w:rsidP="007D7F57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D7F57">
              <w:rPr>
                <w:i/>
                <w:sz w:val="24"/>
                <w:szCs w:val="24"/>
                <w:lang w:val="ru-RU"/>
              </w:rPr>
              <w:t>К</w:t>
            </w:r>
            <w:r w:rsidR="007D7F57" w:rsidRPr="007D7F57">
              <w:rPr>
                <w:i/>
                <w:sz w:val="24"/>
                <w:szCs w:val="24"/>
              </w:rPr>
              <w:t xml:space="preserve">од виду цільового </w:t>
            </w:r>
          </w:p>
          <w:p w14:paraId="1AF37BE7" w14:textId="5EBCEAAF" w:rsidR="006764C8" w:rsidRPr="00056A2A" w:rsidRDefault="007D7F57" w:rsidP="007D7F57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7D7F57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1FD3755" w:rsidR="006764C8" w:rsidRPr="001176E9" w:rsidRDefault="007D7F57" w:rsidP="008819D3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03.10 д</w:t>
            </w:r>
            <w:r w:rsidRPr="007D7F57">
              <w:rPr>
                <w:b/>
                <w:i/>
                <w:sz w:val="24"/>
                <w:szCs w:val="24"/>
              </w:rPr>
      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C55118" w:rsidRPr="001176E9">
              <w:rPr>
                <w:b/>
                <w:i/>
                <w:sz w:val="24"/>
                <w:szCs w:val="24"/>
              </w:rPr>
              <w:t>для реконструкції об'єкта незавершеного будівництва-виробничого корпусу під оздоровчо-спортивний і офісний центри, їх подальших експлуатації і обслуговування та для будівництва, експлуатації та обслуговування будинку готельного типу для тимчасового проживання з підземним паркінгом</w:t>
            </w:r>
            <w:r>
              <w:rPr>
                <w:b/>
                <w:i/>
                <w:sz w:val="24"/>
                <w:szCs w:val="24"/>
              </w:rPr>
              <w:t>)</w:t>
            </w:r>
            <w:r w:rsidR="00C55118" w:rsidRPr="001176E9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1176E9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57E52CC7" w14:textId="77777777" w:rsidR="00535C1D" w:rsidRDefault="00535C1D" w:rsidP="00535C1D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5C2022D5" w:rsidR="006D7E33" w:rsidRPr="00056A2A" w:rsidRDefault="00535C1D" w:rsidP="00535C1D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535C1D">
              <w:rPr>
                <w:b/>
                <w:i/>
                <w:sz w:val="24"/>
                <w:szCs w:val="24"/>
                <w:shd w:val="clear" w:color="auto" w:fill="FFFFFF"/>
              </w:rPr>
              <w:t>61 698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535C1D">
              <w:rPr>
                <w:b/>
                <w:i/>
                <w:sz w:val="24"/>
                <w:szCs w:val="24"/>
                <w:shd w:val="clear" w:color="auto" w:fill="FFFFFF"/>
              </w:rPr>
              <w:t>631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535C1D">
              <w:rPr>
                <w:b/>
                <w:i/>
                <w:sz w:val="24"/>
                <w:szCs w:val="24"/>
                <w:shd w:val="clear" w:color="auto" w:fill="FFFFFF"/>
              </w:rPr>
              <w:t xml:space="preserve">35 коп. 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4FE607C3" w14:textId="77777777" w:rsidR="00692CD2" w:rsidRDefault="00692CD2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2F25501B" w14:textId="77777777" w:rsidR="00692CD2" w:rsidRDefault="00692CD2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2B5F2AD2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2627CD3D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</w:t>
      </w:r>
      <w:r w:rsidR="00FE4F07">
        <w:rPr>
          <w:rFonts w:ascii="Times New Roman" w:hAnsi="Times New Roman" w:cs="Times New Roman"/>
        </w:rPr>
        <w:t>их</w:t>
      </w:r>
      <w:r w:rsidRPr="00772C24">
        <w:rPr>
          <w:rFonts w:ascii="Times New Roman" w:hAnsi="Times New Roman" w:cs="Times New Roman"/>
        </w:rPr>
        <w:t xml:space="preserve"> ос</w:t>
      </w:r>
      <w:r w:rsidR="00FE4F07">
        <w:rPr>
          <w:rFonts w:ascii="Times New Roman" w:hAnsi="Times New Roman" w:cs="Times New Roman"/>
        </w:rPr>
        <w:t>іб</w:t>
      </w:r>
      <w:r w:rsidRPr="00772C24">
        <w:rPr>
          <w:rFonts w:ascii="Times New Roman" w:hAnsi="Times New Roman" w:cs="Times New Roman"/>
        </w:rPr>
        <w:t>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590A62" w:rsidRPr="00037B84" w14:paraId="3425DFB0" w14:textId="77777777" w:rsidTr="00A1104D">
        <w:trPr>
          <w:cantSplit/>
          <w:trHeight w:val="9107"/>
        </w:trPr>
        <w:tc>
          <w:tcPr>
            <w:tcW w:w="2972" w:type="dxa"/>
          </w:tcPr>
          <w:p w14:paraId="09EACFBD" w14:textId="77777777" w:rsidR="00590A62" w:rsidRPr="00776E89" w:rsidRDefault="00590A62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590A62" w:rsidRPr="00037B84" w:rsidRDefault="00590A62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796EA40" w14:textId="1E42F1F6" w:rsidR="008819D3" w:rsidRDefault="00590A62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1E3C">
              <w:rPr>
                <w:b w:val="0"/>
                <w:i/>
                <w:sz w:val="24"/>
                <w:szCs w:val="24"/>
              </w:rPr>
              <w:t>Забудована. На земельній ділянці розміщуються</w:t>
            </w:r>
            <w:r w:rsidR="008819D3">
              <w:rPr>
                <w:b w:val="0"/>
                <w:i/>
                <w:sz w:val="24"/>
                <w:szCs w:val="24"/>
              </w:rPr>
              <w:t>:</w:t>
            </w:r>
            <w:r w:rsidRPr="00BE1E3C">
              <w:rPr>
                <w:b w:val="0"/>
                <w:i/>
                <w:sz w:val="24"/>
                <w:szCs w:val="24"/>
              </w:rPr>
              <w:t xml:space="preserve"> </w:t>
            </w:r>
            <w:r w:rsidR="008819D3">
              <w:rPr>
                <w:b w:val="0"/>
                <w:i/>
                <w:sz w:val="24"/>
                <w:szCs w:val="24"/>
              </w:rPr>
              <w:t xml:space="preserve">                                       - </w:t>
            </w:r>
            <w:r w:rsidRPr="00BE1E3C">
              <w:rPr>
                <w:b w:val="0"/>
                <w:i/>
                <w:sz w:val="24"/>
                <w:szCs w:val="24"/>
              </w:rPr>
              <w:t>адміністративно-офісна будівля (блок А та Б) біля якої розміщені місця для паркування автомобілів, заїзд та виїзд на які обмежені шлагбаумом, з фасадної сторони офісу знаходиться літня тераса ресторану «</w:t>
            </w:r>
            <w:r w:rsidRPr="00BE1E3C">
              <w:rPr>
                <w:b w:val="0"/>
                <w:i/>
                <w:sz w:val="24"/>
                <w:szCs w:val="24"/>
                <w:lang w:val="en-US"/>
              </w:rPr>
              <w:t>Par</w:t>
            </w:r>
            <w:r w:rsidRPr="00BE1E3C">
              <w:rPr>
                <w:b w:val="0"/>
                <w:i/>
                <w:sz w:val="24"/>
                <w:szCs w:val="24"/>
              </w:rPr>
              <w:t xml:space="preserve"> </w:t>
            </w:r>
            <w:r w:rsidRPr="00BE1E3C">
              <w:rPr>
                <w:b w:val="0"/>
                <w:i/>
                <w:sz w:val="24"/>
                <w:szCs w:val="24"/>
                <w:lang w:val="en-US"/>
              </w:rPr>
              <w:t>bap</w:t>
            </w:r>
            <w:r w:rsidRPr="00BE1E3C">
              <w:rPr>
                <w:b w:val="0"/>
                <w:i/>
                <w:sz w:val="24"/>
                <w:szCs w:val="24"/>
                <w:vertAlign w:val="superscript"/>
              </w:rPr>
              <w:t>2</w:t>
            </w:r>
            <w:r w:rsidRPr="00BE1E3C">
              <w:rPr>
                <w:b w:val="0"/>
                <w:i/>
                <w:sz w:val="24"/>
                <w:szCs w:val="24"/>
              </w:rPr>
              <w:t>»;</w:t>
            </w:r>
          </w:p>
          <w:p w14:paraId="419EEBD3" w14:textId="77777777" w:rsidR="008819D3" w:rsidRDefault="008819D3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</w:t>
            </w:r>
            <w:r w:rsidR="00590A62" w:rsidRPr="00BE1E3C">
              <w:rPr>
                <w:b w:val="0"/>
                <w:i/>
                <w:sz w:val="24"/>
                <w:szCs w:val="24"/>
              </w:rPr>
              <w:t xml:space="preserve"> підземний паркінг, офісний центр; </w:t>
            </w:r>
          </w:p>
          <w:p w14:paraId="7892334E" w14:textId="77777777" w:rsidR="008819D3" w:rsidRDefault="008819D3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- </w:t>
            </w:r>
            <w:r w:rsidR="00590A62" w:rsidRPr="00BE1E3C">
              <w:rPr>
                <w:b w:val="0"/>
                <w:i/>
                <w:sz w:val="24"/>
                <w:szCs w:val="24"/>
              </w:rPr>
              <w:t>будинок готельного типу</w:t>
            </w:r>
            <w:r>
              <w:rPr>
                <w:b w:val="0"/>
                <w:i/>
                <w:sz w:val="24"/>
                <w:szCs w:val="24"/>
              </w:rPr>
              <w:t>;</w:t>
            </w:r>
          </w:p>
          <w:p w14:paraId="2E3AF910" w14:textId="7A9C26BE" w:rsidR="00590A62" w:rsidRDefault="00590A62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1E3C">
              <w:rPr>
                <w:b w:val="0"/>
                <w:i/>
                <w:sz w:val="24"/>
                <w:szCs w:val="24"/>
              </w:rPr>
              <w:t>(акт обстеження від 07.02.2023 № ДК/24-АО/2023).</w:t>
            </w:r>
          </w:p>
          <w:p w14:paraId="53874D38" w14:textId="77777777" w:rsidR="00B41CDF" w:rsidRPr="00BE1E3C" w:rsidRDefault="00B41C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394B82F7" w14:textId="4F8F1190" w:rsidR="00590A62" w:rsidRPr="00BE1E3C" w:rsidRDefault="00590A62" w:rsidP="007D7F5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1E3C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 товариству з обмеженою відповідальністю «ЦЕНТР - ІНВЕСТ» (далі – Товариство) належить на праві власності об’єкти нерухомого майна:</w:t>
            </w:r>
          </w:p>
          <w:p w14:paraId="1B2840A0" w14:textId="67F271BA" w:rsidR="00590A62" w:rsidRPr="00BE1E3C" w:rsidRDefault="00590A62" w:rsidP="001B3C5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1E3C">
              <w:rPr>
                <w:b w:val="0"/>
                <w:i/>
                <w:sz w:val="24"/>
                <w:szCs w:val="24"/>
              </w:rPr>
              <w:t>- підземний паркінг літ. «В1» загальною площею 7189,9 кв. м (реєстраційний номер об’єкта нерухомого майна 2475202380000, номер відомостей про речове прав</w:t>
            </w:r>
            <w:r w:rsidR="00E777F5">
              <w:rPr>
                <w:b w:val="0"/>
                <w:i/>
                <w:sz w:val="24"/>
                <w:szCs w:val="24"/>
              </w:rPr>
              <w:t>о:                          від</w:t>
            </w:r>
            <w:r w:rsidRPr="00BE1E3C">
              <w:rPr>
                <w:b w:val="0"/>
                <w:i/>
                <w:sz w:val="24"/>
                <w:szCs w:val="24"/>
              </w:rPr>
              <w:t xml:space="preserve"> 15.09.2021</w:t>
            </w:r>
            <w:r w:rsidR="00E777F5">
              <w:rPr>
                <w:b w:val="0"/>
                <w:i/>
                <w:sz w:val="24"/>
                <w:szCs w:val="24"/>
              </w:rPr>
              <w:t xml:space="preserve"> № 44383938</w:t>
            </w:r>
            <w:r w:rsidRPr="00BE1E3C">
              <w:rPr>
                <w:b w:val="0"/>
                <w:i/>
                <w:sz w:val="24"/>
                <w:szCs w:val="24"/>
              </w:rPr>
              <w:t>);</w:t>
            </w:r>
          </w:p>
          <w:p w14:paraId="7C6B2A29" w14:textId="40A9FF5D" w:rsidR="00590A62" w:rsidRPr="00BE1E3C" w:rsidRDefault="00590A62" w:rsidP="001B3C5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1E3C">
              <w:rPr>
                <w:b w:val="0"/>
                <w:i/>
                <w:sz w:val="24"/>
                <w:szCs w:val="24"/>
              </w:rPr>
              <w:t>- офісний центр літ. «В» загальною площею 7717,1 кв. м (реєстраційний номер об’єкта нерухомого майна 2475168680000, номер відомостей про речове право:                          від</w:t>
            </w:r>
            <w:r w:rsidR="00E777F5">
              <w:rPr>
                <w:b w:val="0"/>
                <w:i/>
                <w:sz w:val="24"/>
                <w:szCs w:val="24"/>
              </w:rPr>
              <w:t xml:space="preserve"> </w:t>
            </w:r>
            <w:r w:rsidR="00E777F5" w:rsidRPr="00BE1E3C">
              <w:rPr>
                <w:b w:val="0"/>
                <w:i/>
                <w:sz w:val="24"/>
                <w:szCs w:val="24"/>
              </w:rPr>
              <w:t>15.09.2021</w:t>
            </w:r>
            <w:r w:rsidRPr="00BE1E3C">
              <w:rPr>
                <w:b w:val="0"/>
                <w:i/>
                <w:sz w:val="24"/>
                <w:szCs w:val="24"/>
              </w:rPr>
              <w:t xml:space="preserve"> </w:t>
            </w:r>
            <w:r w:rsidR="00E777F5">
              <w:rPr>
                <w:b w:val="0"/>
                <w:i/>
                <w:sz w:val="24"/>
                <w:szCs w:val="24"/>
              </w:rPr>
              <w:t>№ 44383182</w:t>
            </w:r>
            <w:r w:rsidRPr="00BE1E3C">
              <w:rPr>
                <w:b w:val="0"/>
                <w:i/>
                <w:sz w:val="24"/>
                <w:szCs w:val="24"/>
              </w:rPr>
              <w:t>);</w:t>
            </w:r>
          </w:p>
          <w:p w14:paraId="06529CAA" w14:textId="55C730B2" w:rsidR="00590A62" w:rsidRDefault="00590A62" w:rsidP="001B3C5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1E3C">
              <w:rPr>
                <w:b w:val="0"/>
                <w:i/>
                <w:sz w:val="24"/>
                <w:szCs w:val="24"/>
              </w:rPr>
              <w:t>- будинок готельного типу (блок Г) загальною площею                   14113 кв. м (реєстраційний номер об’єкта нерухомого майна 2419536680000, номер відомостей про речове прав</w:t>
            </w:r>
            <w:r w:rsidR="00E777F5">
              <w:rPr>
                <w:b w:val="0"/>
                <w:i/>
                <w:sz w:val="24"/>
                <w:szCs w:val="24"/>
              </w:rPr>
              <w:t>о:                          від</w:t>
            </w:r>
            <w:r w:rsidRPr="00BE1E3C">
              <w:rPr>
                <w:b w:val="0"/>
                <w:i/>
                <w:sz w:val="24"/>
                <w:szCs w:val="24"/>
              </w:rPr>
              <w:t xml:space="preserve"> 22.07.2021</w:t>
            </w:r>
            <w:r w:rsidR="00E777F5">
              <w:rPr>
                <w:b w:val="0"/>
                <w:i/>
                <w:sz w:val="24"/>
                <w:szCs w:val="24"/>
              </w:rPr>
              <w:t xml:space="preserve"> № 43202129</w:t>
            </w:r>
            <w:r>
              <w:rPr>
                <w:b w:val="0"/>
                <w:i/>
                <w:sz w:val="24"/>
                <w:szCs w:val="24"/>
              </w:rPr>
              <w:t>).</w:t>
            </w:r>
          </w:p>
          <w:p w14:paraId="1320D974" w14:textId="77777777" w:rsidR="008819D3" w:rsidRDefault="008819D3" w:rsidP="001B3C5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637939B" w14:textId="77777777" w:rsidR="00590A62" w:rsidRDefault="00590A62" w:rsidP="00BE1E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Товариству з обмеженою відповідальністю «БЦ ІЛЕВЕН» </w:t>
            </w:r>
            <w:r w:rsidRPr="00BC10DA">
              <w:rPr>
                <w:b w:val="0"/>
                <w:i/>
                <w:sz w:val="24"/>
                <w:szCs w:val="24"/>
              </w:rPr>
              <w:t>належить на праві власності об’єкти нерухомого майна:</w:t>
            </w:r>
          </w:p>
          <w:p w14:paraId="41633F96" w14:textId="65C6DE2F" w:rsidR="00590A62" w:rsidRDefault="00590A62" w:rsidP="00692DE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E1E3C">
              <w:rPr>
                <w:b w:val="0"/>
                <w:i/>
                <w:sz w:val="24"/>
                <w:szCs w:val="24"/>
              </w:rPr>
              <w:t xml:space="preserve">- будівля офісного центру (блок Б)(літ. Н) загальною площею                   3682,5 кв. м </w:t>
            </w:r>
            <w:r w:rsidRPr="00BC10DA">
              <w:rPr>
                <w:b w:val="0"/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>
              <w:rPr>
                <w:b w:val="0"/>
                <w:i/>
                <w:sz w:val="24"/>
                <w:szCs w:val="24"/>
              </w:rPr>
              <w:t>222354980000</w:t>
            </w:r>
            <w:r w:rsidRPr="00BC10DA">
              <w:rPr>
                <w:b w:val="0"/>
                <w:i/>
                <w:sz w:val="24"/>
                <w:szCs w:val="24"/>
              </w:rPr>
              <w:t xml:space="preserve">, номер відомостей про речове право:         </w:t>
            </w:r>
            <w:r w:rsidR="00E777F5">
              <w:rPr>
                <w:b w:val="0"/>
                <w:i/>
                <w:sz w:val="24"/>
                <w:szCs w:val="24"/>
              </w:rPr>
              <w:t xml:space="preserve">                 від </w:t>
            </w:r>
            <w:r w:rsidRPr="00BC10DA">
              <w:rPr>
                <w:b w:val="0"/>
                <w:i/>
                <w:sz w:val="24"/>
                <w:szCs w:val="24"/>
              </w:rPr>
              <w:t>29.08.2016</w:t>
            </w:r>
            <w:r w:rsidR="00E777F5">
              <w:rPr>
                <w:b w:val="0"/>
                <w:i/>
                <w:sz w:val="24"/>
                <w:szCs w:val="24"/>
              </w:rPr>
              <w:t xml:space="preserve">  № </w:t>
            </w:r>
            <w:r w:rsidR="00E777F5" w:rsidRPr="00BC10DA">
              <w:rPr>
                <w:b w:val="0"/>
                <w:i/>
                <w:sz w:val="24"/>
                <w:szCs w:val="24"/>
              </w:rPr>
              <w:t>16141617</w:t>
            </w:r>
            <w:r>
              <w:rPr>
                <w:b w:val="0"/>
                <w:i/>
                <w:sz w:val="24"/>
                <w:szCs w:val="24"/>
              </w:rPr>
              <w:t>);</w:t>
            </w:r>
          </w:p>
          <w:p w14:paraId="2450CAC3" w14:textId="4E6FFE96" w:rsidR="00590A62" w:rsidRDefault="00590A62" w:rsidP="00692DE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 нежитлова будівля (літ. «А»</w:t>
            </w:r>
            <w:r w:rsidRPr="00590A62">
              <w:rPr>
                <w:b w:val="0"/>
                <w:i/>
                <w:sz w:val="24"/>
                <w:szCs w:val="24"/>
              </w:rPr>
              <w:t>)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590A62">
              <w:rPr>
                <w:b w:val="0"/>
                <w:i/>
                <w:sz w:val="24"/>
                <w:szCs w:val="24"/>
              </w:rPr>
              <w:t xml:space="preserve">загальною площею                   </w:t>
            </w:r>
            <w:r>
              <w:rPr>
                <w:b w:val="0"/>
                <w:i/>
                <w:sz w:val="24"/>
                <w:szCs w:val="24"/>
              </w:rPr>
              <w:t>10313,3</w:t>
            </w:r>
            <w:r w:rsidRPr="00590A62">
              <w:rPr>
                <w:b w:val="0"/>
                <w:i/>
                <w:sz w:val="24"/>
                <w:szCs w:val="24"/>
              </w:rPr>
              <w:t xml:space="preserve"> кв. м (реєстраційний номер об’єкта нерухомого майна </w:t>
            </w:r>
            <w:r>
              <w:rPr>
                <w:b w:val="0"/>
                <w:i/>
                <w:sz w:val="24"/>
                <w:szCs w:val="24"/>
              </w:rPr>
              <w:t>194307780000</w:t>
            </w:r>
            <w:r w:rsidRPr="00590A62">
              <w:rPr>
                <w:b w:val="0"/>
                <w:i/>
                <w:sz w:val="24"/>
                <w:szCs w:val="24"/>
              </w:rPr>
              <w:t>, номер відомостей про речове право:                          від  29.08.2016</w:t>
            </w:r>
            <w:r w:rsidR="00E777F5">
              <w:rPr>
                <w:b w:val="0"/>
                <w:i/>
                <w:sz w:val="24"/>
                <w:szCs w:val="24"/>
              </w:rPr>
              <w:t xml:space="preserve"> № 16141559</w:t>
            </w:r>
            <w:r w:rsidRPr="00590A62">
              <w:rPr>
                <w:b w:val="0"/>
                <w:i/>
                <w:sz w:val="24"/>
                <w:szCs w:val="24"/>
              </w:rPr>
              <w:t>).</w:t>
            </w:r>
          </w:p>
          <w:p w14:paraId="72E8927A" w14:textId="77777777" w:rsidR="008819D3" w:rsidRDefault="008819D3" w:rsidP="00692DE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99C7044" w14:textId="17D9666F" w:rsidR="00590A62" w:rsidRDefault="008819D3" w:rsidP="00590A6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="00590A62">
              <w:rPr>
                <w:b w:val="0"/>
                <w:i/>
                <w:sz w:val="24"/>
                <w:szCs w:val="24"/>
              </w:rPr>
              <w:t>ідповідність закінченого будівництвом об’єкта (черги, окремого пускового комплексу) проектній документації та підтвердж</w:t>
            </w:r>
            <w:r>
              <w:rPr>
                <w:b w:val="0"/>
                <w:i/>
                <w:sz w:val="24"/>
                <w:szCs w:val="24"/>
              </w:rPr>
              <w:t xml:space="preserve">ення </w:t>
            </w:r>
            <w:r w:rsidR="00590A62">
              <w:rPr>
                <w:b w:val="0"/>
                <w:i/>
                <w:sz w:val="24"/>
                <w:szCs w:val="24"/>
              </w:rPr>
              <w:t>його готовн</w:t>
            </w:r>
            <w:r w:rsidR="007131CB">
              <w:rPr>
                <w:b w:val="0"/>
                <w:i/>
                <w:sz w:val="24"/>
                <w:szCs w:val="24"/>
              </w:rPr>
              <w:t>ості</w:t>
            </w:r>
            <w:r w:rsidR="00590A62">
              <w:rPr>
                <w:b w:val="0"/>
                <w:i/>
                <w:sz w:val="24"/>
                <w:szCs w:val="24"/>
              </w:rPr>
              <w:t xml:space="preserve"> до експлуатації</w:t>
            </w:r>
            <w:r>
              <w:rPr>
                <w:b w:val="0"/>
                <w:i/>
                <w:sz w:val="24"/>
                <w:szCs w:val="24"/>
              </w:rPr>
              <w:t xml:space="preserve"> засвідчено</w:t>
            </w:r>
            <w:r w:rsidR="00590A62">
              <w:rPr>
                <w:b w:val="0"/>
                <w:i/>
                <w:sz w:val="24"/>
                <w:szCs w:val="24"/>
              </w:rPr>
              <w:t>:</w:t>
            </w:r>
          </w:p>
          <w:p w14:paraId="506E57A9" w14:textId="33462045" w:rsidR="00590A62" w:rsidRPr="00692DE5" w:rsidRDefault="00590A62" w:rsidP="008819D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692DE5" w:rsidRPr="00037B84" w14:paraId="1CAB553C" w14:textId="77777777" w:rsidTr="00B312AA">
        <w:trPr>
          <w:cantSplit/>
          <w:trHeight w:val="2106"/>
        </w:trPr>
        <w:tc>
          <w:tcPr>
            <w:tcW w:w="2972" w:type="dxa"/>
          </w:tcPr>
          <w:p w14:paraId="4C203482" w14:textId="77777777" w:rsidR="00692DE5" w:rsidRPr="00692DE5" w:rsidRDefault="00692DE5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CCA060" w14:textId="18B162D3" w:rsidR="008819D3" w:rsidRDefault="008819D3" w:rsidP="008819D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92DE5">
              <w:rPr>
                <w:b w:val="0"/>
                <w:i/>
                <w:sz w:val="24"/>
                <w:szCs w:val="24"/>
              </w:rPr>
              <w:t>- сертифікат</w:t>
            </w:r>
            <w:r w:rsidR="00B85010">
              <w:rPr>
                <w:b w:val="0"/>
                <w:i/>
                <w:sz w:val="24"/>
                <w:szCs w:val="24"/>
              </w:rPr>
              <w:t>ом</w:t>
            </w:r>
            <w:r w:rsidRPr="00692DE5">
              <w:rPr>
                <w:b w:val="0"/>
                <w:i/>
                <w:sz w:val="24"/>
                <w:szCs w:val="24"/>
              </w:rPr>
              <w:t xml:space="preserve"> від 31.08.2010 № КВ000347 (реконструкці</w:t>
            </w:r>
            <w:r>
              <w:rPr>
                <w:b w:val="0"/>
                <w:i/>
                <w:sz w:val="24"/>
                <w:szCs w:val="24"/>
              </w:rPr>
              <w:t>я</w:t>
            </w:r>
            <w:r w:rsidRPr="00692DE5">
              <w:rPr>
                <w:b w:val="0"/>
                <w:i/>
                <w:sz w:val="24"/>
                <w:szCs w:val="24"/>
              </w:rPr>
              <w:t xml:space="preserve"> незавершеного будівництва - виробничого корпусу під оздоровчо-спортивний і офісний центри та будівництво будинку готельного типу для тимчасового проживання з підземним паркінгом) (блок А – перша черга будівництва);</w:t>
            </w:r>
          </w:p>
          <w:p w14:paraId="7BA3F844" w14:textId="514CF10C" w:rsidR="008819D3" w:rsidRDefault="00BC10DA" w:rsidP="00BC10D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92DE5">
              <w:rPr>
                <w:b w:val="0"/>
                <w:i/>
                <w:sz w:val="24"/>
                <w:szCs w:val="24"/>
              </w:rPr>
              <w:t>- сертифікат</w:t>
            </w:r>
            <w:r w:rsidR="00B85010">
              <w:rPr>
                <w:b w:val="0"/>
                <w:i/>
                <w:sz w:val="24"/>
                <w:szCs w:val="24"/>
              </w:rPr>
              <w:t>ом</w:t>
            </w:r>
            <w:r w:rsidRPr="00692DE5">
              <w:rPr>
                <w:b w:val="0"/>
                <w:i/>
                <w:sz w:val="24"/>
                <w:szCs w:val="24"/>
              </w:rPr>
              <w:t xml:space="preserve"> від 15.05.2012 серія КВ № 16412074469 (реконструкція незавершеного будівництва - виробничого корпусу під оздоровчо-спортивний і офісний центр</w:t>
            </w:r>
            <w:r w:rsidR="00EC5449">
              <w:rPr>
                <w:b w:val="0"/>
                <w:i/>
                <w:sz w:val="24"/>
                <w:szCs w:val="24"/>
              </w:rPr>
              <w:t>и</w:t>
            </w:r>
            <w:r w:rsidRPr="00692DE5">
              <w:rPr>
                <w:b w:val="0"/>
                <w:i/>
                <w:sz w:val="24"/>
                <w:szCs w:val="24"/>
              </w:rPr>
              <w:t xml:space="preserve"> та будівництво будинку готельного типу для тимчасового проживання з підземним паркінгом) (блок Б);</w:t>
            </w:r>
          </w:p>
          <w:p w14:paraId="6E97BC19" w14:textId="30D9DE3E" w:rsidR="00692DE5" w:rsidRPr="00820B74" w:rsidRDefault="008819D3" w:rsidP="00BC10D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- </w:t>
            </w:r>
            <w:r w:rsidR="00692DE5">
              <w:rPr>
                <w:b w:val="0"/>
                <w:i/>
                <w:sz w:val="24"/>
                <w:szCs w:val="24"/>
              </w:rPr>
              <w:t>сертифікат</w:t>
            </w:r>
            <w:r w:rsidR="00B85010">
              <w:rPr>
                <w:b w:val="0"/>
                <w:i/>
                <w:sz w:val="24"/>
                <w:szCs w:val="24"/>
              </w:rPr>
              <w:t>ом</w:t>
            </w:r>
            <w:r w:rsidR="00692DE5">
              <w:rPr>
                <w:b w:val="0"/>
                <w:i/>
                <w:sz w:val="24"/>
                <w:szCs w:val="24"/>
              </w:rPr>
              <w:t xml:space="preserve"> від 19.07.2021 № ІУ123210713993 (</w:t>
            </w:r>
            <w:r w:rsidR="00692DE5" w:rsidRPr="00820B74">
              <w:rPr>
                <w:b w:val="0"/>
                <w:i/>
                <w:sz w:val="24"/>
                <w:szCs w:val="24"/>
              </w:rPr>
              <w:t>реконструкці</w:t>
            </w:r>
            <w:r w:rsidR="00692DE5">
              <w:rPr>
                <w:b w:val="0"/>
                <w:i/>
                <w:sz w:val="24"/>
                <w:szCs w:val="24"/>
              </w:rPr>
              <w:t>я</w:t>
            </w:r>
            <w:r w:rsidR="00692DE5" w:rsidRPr="00820B74">
              <w:rPr>
                <w:b w:val="0"/>
                <w:i/>
                <w:sz w:val="24"/>
                <w:szCs w:val="24"/>
              </w:rPr>
              <w:t xml:space="preserve"> </w:t>
            </w:r>
            <w:r w:rsidR="00692DE5">
              <w:rPr>
                <w:b w:val="0"/>
                <w:i/>
                <w:sz w:val="24"/>
                <w:szCs w:val="24"/>
              </w:rPr>
              <w:t xml:space="preserve">незавершеного </w:t>
            </w:r>
            <w:r w:rsidR="00692DE5" w:rsidRPr="00820B74">
              <w:rPr>
                <w:b w:val="0"/>
                <w:i/>
                <w:sz w:val="24"/>
                <w:szCs w:val="24"/>
              </w:rPr>
              <w:t>будівництва</w:t>
            </w:r>
            <w:r w:rsidR="00692DE5">
              <w:rPr>
                <w:b w:val="0"/>
                <w:i/>
                <w:sz w:val="24"/>
                <w:szCs w:val="24"/>
              </w:rPr>
              <w:t xml:space="preserve"> </w:t>
            </w:r>
            <w:r w:rsidR="00692DE5" w:rsidRPr="00820B74">
              <w:rPr>
                <w:b w:val="0"/>
                <w:i/>
                <w:sz w:val="24"/>
                <w:szCs w:val="24"/>
              </w:rPr>
              <w:t>-</w:t>
            </w:r>
            <w:r w:rsidR="00692DE5">
              <w:rPr>
                <w:b w:val="0"/>
                <w:i/>
                <w:sz w:val="24"/>
                <w:szCs w:val="24"/>
              </w:rPr>
              <w:t xml:space="preserve"> </w:t>
            </w:r>
            <w:r w:rsidR="00692DE5" w:rsidRPr="00820B74">
              <w:rPr>
                <w:b w:val="0"/>
                <w:i/>
                <w:sz w:val="24"/>
                <w:szCs w:val="24"/>
              </w:rPr>
              <w:t>виробничого корпусу під оздоровчо-спортивний і офісний центри та будівництво будинку готельного типу для тимчасового проживання з підземним паркінгом</w:t>
            </w:r>
            <w:r w:rsidR="00692DE5">
              <w:rPr>
                <w:b w:val="0"/>
                <w:i/>
                <w:sz w:val="24"/>
                <w:szCs w:val="24"/>
              </w:rPr>
              <w:t>. Коригування</w:t>
            </w:r>
            <w:r w:rsidR="00692DE5" w:rsidRPr="00820B74">
              <w:rPr>
                <w:b w:val="0"/>
                <w:i/>
                <w:sz w:val="24"/>
                <w:szCs w:val="24"/>
              </w:rPr>
              <w:t>);</w:t>
            </w:r>
          </w:p>
          <w:p w14:paraId="0A8B4A3A" w14:textId="1F5997C7" w:rsidR="00692DE5" w:rsidRPr="00BE1E3C" w:rsidRDefault="00692DE5" w:rsidP="008819D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 сертифікат</w:t>
            </w:r>
            <w:r w:rsidR="00B85010">
              <w:rPr>
                <w:b w:val="0"/>
                <w:i/>
                <w:sz w:val="24"/>
                <w:szCs w:val="24"/>
              </w:rPr>
              <w:t>ом</w:t>
            </w:r>
            <w:r>
              <w:rPr>
                <w:b w:val="0"/>
                <w:i/>
                <w:sz w:val="24"/>
                <w:szCs w:val="24"/>
              </w:rPr>
              <w:t xml:space="preserve"> від 04.09.2021 № ІУ123210713164 </w:t>
            </w:r>
            <w:r w:rsidRPr="00692DE5">
              <w:rPr>
                <w:b w:val="0"/>
                <w:i/>
                <w:sz w:val="24"/>
                <w:szCs w:val="24"/>
              </w:rPr>
              <w:t>(реконстр</w:t>
            </w:r>
            <w:r>
              <w:rPr>
                <w:b w:val="0"/>
                <w:i/>
                <w:sz w:val="24"/>
                <w:szCs w:val="24"/>
              </w:rPr>
              <w:t>укція</w:t>
            </w:r>
            <w:r w:rsidRPr="00692DE5">
              <w:rPr>
                <w:b w:val="0"/>
                <w:i/>
                <w:sz w:val="24"/>
                <w:szCs w:val="24"/>
              </w:rPr>
              <w:t xml:space="preserve"> незавершеного будівництва - виробничого корпусу під оздоровчо-спортивний і офісний центри та будівництво будинку готельного типу для тимчасового проживання з підземним паркінгом</w:t>
            </w:r>
            <w:r>
              <w:rPr>
                <w:b w:val="0"/>
                <w:i/>
                <w:sz w:val="24"/>
                <w:szCs w:val="24"/>
              </w:rPr>
              <w:t>. Коригування</w:t>
            </w:r>
            <w:r w:rsidR="00590A62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266B36">
        <w:trPr>
          <w:cantSplit/>
          <w:trHeight w:val="37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20B7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6526848F" w:rsidR="00823CCF" w:rsidRPr="00ED0806" w:rsidRDefault="0018193A" w:rsidP="00ED080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ED0806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820B7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820B7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820B74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20B7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6EDC1E9" w14:textId="4579F836" w:rsidR="00B15771" w:rsidRDefault="00B15771" w:rsidP="008819D3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15771">
              <w:rPr>
                <w:b w:val="0"/>
                <w:i/>
                <w:color w:val="auto"/>
                <w:sz w:val="24"/>
                <w:szCs w:val="24"/>
              </w:rPr>
              <w:t>Території промислові (існуючі), частково території зелених насаджень загального користування (існуючі).</w:t>
            </w:r>
          </w:p>
          <w:p w14:paraId="7334039C" w14:textId="77777777" w:rsidR="00B15771" w:rsidRDefault="00B15771" w:rsidP="008819D3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</w:p>
          <w:p w14:paraId="49BF4673" w14:textId="0F1EAD5F" w:rsidR="00823CCF" w:rsidRPr="00ED0806" w:rsidRDefault="00E920B4" w:rsidP="008819D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E920B4">
              <w:rPr>
                <w:b w:val="0"/>
                <w:i/>
                <w:color w:val="auto"/>
                <w:sz w:val="24"/>
                <w:szCs w:val="24"/>
              </w:rPr>
              <w:t>Пунктом 2 рішення Київської міської ради від 01.10.2007                     № 450/3284 переведено земельну ділянку з промислової території та території зелених насаджень загального користування до території громадських будівель і споруд.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920B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638EA3E3" w:rsidR="006A19DF" w:rsidRPr="00C83E3A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83E3A">
              <w:rPr>
                <w:b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4E5B0F3D" w:rsidR="00823CCF" w:rsidRPr="00907FF6" w:rsidRDefault="006A19DF" w:rsidP="00C83E3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83E3A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C83E3A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C83E3A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="00C83E3A" w:rsidRPr="00C83E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</w:t>
            </w:r>
            <w:r w:rsidRPr="00C83E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 визначено</w:t>
            </w:r>
            <w:r w:rsidRPr="00C83E3A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C83E3A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C83E3A">
              <w:rPr>
                <w:b w:val="0"/>
                <w:i/>
                <w:sz w:val="24"/>
                <w:szCs w:val="24"/>
              </w:rPr>
              <w:t>-</w:t>
            </w:r>
            <w:r w:rsidRPr="00C83E3A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83E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C83E3A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B44031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0522094F" w:rsidR="00E4513A" w:rsidRPr="00B44031" w:rsidRDefault="00B44031" w:rsidP="00E920B4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44031">
              <w:rPr>
                <w:rFonts w:ascii="Times New Roman" w:eastAsia="Times New Roman" w:hAnsi="Times New Roman" w:cs="Times New Roman"/>
                <w:bCs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B44031">
              <w:rPr>
                <w:rFonts w:ascii="Times New Roman" w:eastAsia="Times New Roman" w:hAnsi="Times New Roman" w:cs="Times New Roman"/>
                <w:bCs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B44031">
              <w:rPr>
                <w:rFonts w:ascii="Times New Roman" w:eastAsia="Times New Roman" w:hAnsi="Times New Roman" w:cs="Times New Roman"/>
                <w:bCs/>
                <w:i/>
              </w:rPr>
              <w:t xml:space="preserve"> не віднос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B44031">
              <w:rPr>
                <w:rFonts w:ascii="Times New Roman" w:eastAsia="Times New Roman" w:hAnsi="Times New Roman" w:cs="Times New Roman"/>
                <w:bCs/>
                <w:i/>
              </w:rPr>
              <w:t>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B85010" w:rsidRPr="00B44031" w14:paraId="74E49BE0" w14:textId="77777777" w:rsidTr="00430CA4">
        <w:trPr>
          <w:cantSplit/>
          <w:trHeight w:val="1413"/>
        </w:trPr>
        <w:tc>
          <w:tcPr>
            <w:tcW w:w="2972" w:type="dxa"/>
          </w:tcPr>
          <w:p w14:paraId="314D10B6" w14:textId="0206F7F6" w:rsidR="00B85010" w:rsidRPr="002F2D3F" w:rsidRDefault="00B85010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5843AC9" w14:textId="707E9E51" w:rsidR="00B85010" w:rsidRPr="00EC5449" w:rsidRDefault="00B85010" w:rsidP="00B850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Рішенням Київської міської ради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01.10.2007 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450/3284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емельна ділянка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передана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 оренду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C5449">
              <w:rPr>
                <w:rFonts w:ascii="Times New Roman" w:hAnsi="Times New Roman" w:cs="Times New Roman"/>
                <w:i/>
              </w:rPr>
              <w:t xml:space="preserve"> 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реконструкції об'єкта незавершеного будівництва-виробничого корпусу під оздоровчо-спортивний і офісний центри, їх подальших експлуатації і обслуговування та для будівництва, експлуатації та обслуговування будинку готельного типу для тимчасового проживання з підземним паркінгом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на вул. Солом’янській у Солом’янському районі                   м. Києва 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(договір оренди від </w:t>
            </w:r>
            <w:r w:rsidRPr="00B8501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.04.</w:t>
            </w:r>
            <w:r w:rsidRPr="00B8501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2008 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 72-6-00509а).</w:t>
            </w:r>
          </w:p>
          <w:p w14:paraId="6CD03710" w14:textId="77777777" w:rsidR="00B85010" w:rsidRDefault="00B85010" w:rsidP="00B850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21.04.2023</w:t>
            </w:r>
            <w:r w:rsidRPr="00EC544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7486DD4C" w14:textId="77777777" w:rsidR="00B85010" w:rsidRPr="00B44031" w:rsidRDefault="00B85010" w:rsidP="00B4403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C7A92" w:rsidRPr="00EC5449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2EB8C915" w:rsidR="00FC7A92" w:rsidRPr="00037B84" w:rsidRDefault="00776E89" w:rsidP="00B8501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3A10A5DD" w14:textId="7C8078EC" w:rsidR="008819D3" w:rsidRDefault="008819D3" w:rsidP="008819D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Згідно з листом Головного управління економіки та інвестицій виконавчого органу Київської міської ради (Київської міської державної адміністрації) від 27.07.2012 № 049-18/4391-12 Товариством відповідно до договору пайової участі у створенні соціальної та інженерно-транспортної інфраструктури міста Києва від 21.05.2008 № 283 (зі змінами) у зв’язку із реконструкцією незавершеного будівництва виробничого корпусу під оздоровчо-спортивний і офісний центр та будівництво будинку готельного типу для тимчасового проживання з підземним паркінгом, в т.</w:t>
            </w:r>
            <w:r w:rsidR="00B85010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ч. блок А загальною площею 10313,30 кв. м та блок Б (офісна будівля) загальною площею 3682,50 кв. м перераховано пайові кошти у сумі 16916,81 тис. грн на бюджетні рахунки спеціального фонду міського бюджету в Головному управлінні Державної казначейської служби України у м. Києві. </w:t>
            </w:r>
          </w:p>
          <w:p w14:paraId="41A251E4" w14:textId="77777777" w:rsidR="003F3915" w:rsidRPr="003F3915" w:rsidRDefault="003F3915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</w:p>
          <w:p w14:paraId="0DF4DC17" w14:textId="77777777" w:rsidR="00B85010" w:rsidRDefault="00B85010" w:rsidP="0026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8501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листа ГУ ДПС у м. Києві від 14.04.2023                                       № 12046/5/26-15-13-01-05 станом на 01.04.2023 за Товариством борг по орендній платі за землю не обліковується. </w:t>
            </w:r>
          </w:p>
          <w:p w14:paraId="05128E54" w14:textId="37889625" w:rsidR="00266B36" w:rsidRPr="003F3915" w:rsidRDefault="00266B36" w:rsidP="0026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  <w:r w:rsidRPr="00266B3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</w:p>
          <w:p w14:paraId="33EAD8CD" w14:textId="7A2A02D5" w:rsidR="00266B36" w:rsidRPr="00266B36" w:rsidRDefault="00266B36" w:rsidP="0026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66B3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Зазначаємо, що Департамент земельних ресурсів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виконавчого органу Київської міської ради (Київської міської державної адміністрації) </w:t>
            </w:r>
            <w:r w:rsidRPr="00266B3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538C085A" w14:textId="77777777" w:rsidR="00266B36" w:rsidRPr="003F3915" w:rsidRDefault="00266B36" w:rsidP="0026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</w:p>
          <w:p w14:paraId="3E29581F" w14:textId="77777777" w:rsidR="00266B36" w:rsidRPr="00266B36" w:rsidRDefault="00266B36" w:rsidP="0026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66B3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3268350" w14:textId="77777777" w:rsidR="00266B36" w:rsidRPr="003F3915" w:rsidRDefault="00266B36" w:rsidP="0026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</w:p>
          <w:p w14:paraId="381CEF3E" w14:textId="11DAA596" w:rsidR="00DE0E7B" w:rsidRPr="00EC5449" w:rsidRDefault="00266B36" w:rsidP="00266B36">
            <w:pPr>
              <w:jc w:val="both"/>
            </w:pPr>
            <w:r w:rsidRPr="00266B3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земельних ресурсів підготовлено проєкт рішення про поновлення </w:t>
            </w:r>
            <w:r w:rsidR="006B6BD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та внесення змін до </w:t>
            </w:r>
            <w:r w:rsidRPr="00266B3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3F3915" w:rsidRDefault="00823CCF" w:rsidP="00823CCF">
      <w:pPr>
        <w:pStyle w:val="a7"/>
        <w:shd w:val="clear" w:color="auto" w:fill="auto"/>
        <w:rPr>
          <w:sz w:val="16"/>
          <w:szCs w:val="16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703E168" w14:textId="77777777" w:rsidR="00FC18C0" w:rsidRDefault="00FC18C0" w:rsidP="00FC18C0">
      <w:pPr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B85010">
        <w:rPr>
          <w:rFonts w:ascii="Times New Roman" w:eastAsia="Times New Roman" w:hAnsi="Times New Roman" w:cs="Times New Roman"/>
          <w:iCs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AEB3C5A" w14:textId="77777777" w:rsidR="00FC18C0" w:rsidRPr="0063016A" w:rsidRDefault="00FC18C0" w:rsidP="00FC18C0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</w:rPr>
      </w:pPr>
      <w:r w:rsidRPr="0063016A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3F3915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16"/>
          <w:szCs w:val="16"/>
        </w:rPr>
      </w:pPr>
    </w:p>
    <w:p w14:paraId="1767B02B" w14:textId="77777777" w:rsidR="00B85010" w:rsidRDefault="00B85010" w:rsidP="00765401">
      <w:pPr>
        <w:pStyle w:val="1"/>
        <w:shd w:val="clear" w:color="auto" w:fill="auto"/>
        <w:spacing w:line="230" w:lineRule="auto"/>
        <w:ind w:firstLine="426"/>
        <w:rPr>
          <w:b/>
          <w:bCs/>
          <w:i w:val="0"/>
          <w:sz w:val="24"/>
          <w:szCs w:val="24"/>
        </w:rPr>
      </w:pPr>
    </w:p>
    <w:p w14:paraId="52D4AE0E" w14:textId="77777777" w:rsidR="00B85010" w:rsidRDefault="00B85010" w:rsidP="00765401">
      <w:pPr>
        <w:pStyle w:val="1"/>
        <w:shd w:val="clear" w:color="auto" w:fill="auto"/>
        <w:spacing w:line="230" w:lineRule="auto"/>
        <w:ind w:firstLine="426"/>
        <w:rPr>
          <w:b/>
          <w:bCs/>
          <w:i w:val="0"/>
          <w:sz w:val="24"/>
          <w:szCs w:val="24"/>
        </w:rPr>
      </w:pPr>
    </w:p>
    <w:p w14:paraId="7387DF0A" w14:textId="77777777" w:rsidR="00AD21F5" w:rsidRDefault="00AD21F5" w:rsidP="00765401">
      <w:pPr>
        <w:pStyle w:val="1"/>
        <w:shd w:val="clear" w:color="auto" w:fill="auto"/>
        <w:spacing w:line="230" w:lineRule="auto"/>
        <w:ind w:firstLine="426"/>
        <w:rPr>
          <w:b/>
          <w:bCs/>
          <w:i w:val="0"/>
          <w:sz w:val="24"/>
          <w:szCs w:val="24"/>
        </w:rPr>
      </w:pPr>
    </w:p>
    <w:p w14:paraId="3DE5E268" w14:textId="55713840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A40616E" w:rsidR="006A19D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>від 0</w:t>
      </w:r>
      <w:r w:rsidR="003F3915">
        <w:rPr>
          <w:i w:val="0"/>
          <w:sz w:val="24"/>
          <w:szCs w:val="24"/>
        </w:rPr>
        <w:t>8</w:t>
      </w:r>
      <w:r w:rsidR="002F2D3F" w:rsidRPr="002F2D3F">
        <w:rPr>
          <w:i w:val="0"/>
          <w:sz w:val="24"/>
          <w:szCs w:val="24"/>
        </w:rPr>
        <w:t>.12.202</w:t>
      </w:r>
      <w:r w:rsidR="003F3915">
        <w:rPr>
          <w:i w:val="0"/>
          <w:sz w:val="24"/>
          <w:szCs w:val="24"/>
        </w:rPr>
        <w:t>2</w:t>
      </w:r>
      <w:r w:rsidR="002F2D3F" w:rsidRPr="002F2D3F">
        <w:rPr>
          <w:i w:val="0"/>
          <w:sz w:val="24"/>
          <w:szCs w:val="24"/>
        </w:rPr>
        <w:t xml:space="preserve"> № </w:t>
      </w:r>
      <w:r w:rsidR="003F3915">
        <w:rPr>
          <w:i w:val="0"/>
          <w:sz w:val="24"/>
          <w:szCs w:val="24"/>
        </w:rPr>
        <w:t>5828/5869</w:t>
      </w:r>
      <w:r w:rsidR="002F2D3F" w:rsidRPr="002F2D3F">
        <w:rPr>
          <w:i w:val="0"/>
          <w:sz w:val="24"/>
          <w:szCs w:val="24"/>
        </w:rPr>
        <w:t xml:space="preserve"> «Про бюджет міста Києва на 202</w:t>
      </w:r>
      <w:r w:rsidR="003F3915">
        <w:rPr>
          <w:i w:val="0"/>
          <w:sz w:val="24"/>
          <w:szCs w:val="24"/>
        </w:rPr>
        <w:t>3</w:t>
      </w:r>
      <w:r w:rsidR="002F2D3F" w:rsidRPr="002F2D3F">
        <w:rPr>
          <w:i w:val="0"/>
          <w:sz w:val="24"/>
          <w:szCs w:val="24"/>
        </w:rPr>
        <w:t xml:space="preserve">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3F3915" w:rsidRPr="003F3915">
        <w:rPr>
          <w:b/>
          <w:sz w:val="24"/>
          <w:szCs w:val="24"/>
        </w:rPr>
        <w:t>3 084 931 грн 57 коп. (5%)</w:t>
      </w:r>
      <w:r w:rsidRPr="003F3915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3F3915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16"/>
          <w:szCs w:val="16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747A4A5E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3F3915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1176E9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3F391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3F3915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3F3915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3F3915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3F3915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48F6DD48" w14:textId="478EE847" w:rsidR="0086252E" w:rsidRPr="003F3915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3F3915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4601054F" w14:textId="77777777" w:rsidR="006F560A" w:rsidRPr="00047DE7" w:rsidRDefault="006F560A" w:rsidP="003F3915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3F3915">
      <w:headerReference w:type="default" r:id="rId13"/>
      <w:footerReference w:type="default" r:id="rId14"/>
      <w:pgSz w:w="11907" w:h="16839" w:code="9"/>
      <w:pgMar w:top="142" w:right="567" w:bottom="142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1141" w14:textId="77777777" w:rsidR="00F617F5" w:rsidRDefault="00F617F5">
      <w:r>
        <w:separator/>
      </w:r>
    </w:p>
  </w:endnote>
  <w:endnote w:type="continuationSeparator" w:id="0">
    <w:p w14:paraId="2CB9C1E2" w14:textId="77777777" w:rsidR="00F617F5" w:rsidRDefault="00F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7550" w14:textId="77777777" w:rsidR="00F617F5" w:rsidRDefault="00F617F5"/>
  </w:footnote>
  <w:footnote w:type="continuationSeparator" w:id="0">
    <w:p w14:paraId="4DFD880F" w14:textId="77777777" w:rsidR="00F617F5" w:rsidRDefault="00F617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7EADD1A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1176E9">
          <w:rPr>
            <w:i w:val="0"/>
            <w:sz w:val="12"/>
            <w:szCs w:val="12"/>
            <w:lang w:val="ru-RU"/>
          </w:rPr>
          <w:t>-50954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8819D3">
          <w:rPr>
            <w:i w:val="0"/>
            <w:sz w:val="12"/>
            <w:szCs w:val="12"/>
            <w:lang w:val="ru-RU"/>
          </w:rPr>
          <w:t>26.04</w:t>
        </w:r>
        <w:r w:rsidR="009674CE" w:rsidRPr="001176E9">
          <w:rPr>
            <w:i w:val="0"/>
            <w:sz w:val="12"/>
            <w:szCs w:val="12"/>
            <w:lang w:val="ru-RU"/>
          </w:rPr>
          <w:t>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1176E9">
          <w:rPr>
            <w:i w:val="0"/>
            <w:sz w:val="12"/>
            <w:szCs w:val="12"/>
            <w:lang w:val="ru-RU"/>
          </w:rPr>
          <w:t>205687459</w:t>
        </w:r>
      </w:p>
      <w:p w14:paraId="0BF67CBB" w14:textId="7B222AE9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C3F4B" w:rsidRPr="00EC3F4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6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402B7865"/>
    <w:multiLevelType w:val="hybridMultilevel"/>
    <w:tmpl w:val="673E44BE"/>
    <w:lvl w:ilvl="0" w:tplc="C5CA7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B656F"/>
    <w:rsid w:val="000C7B1F"/>
    <w:rsid w:val="000E3D00"/>
    <w:rsid w:val="00101DAD"/>
    <w:rsid w:val="001121A7"/>
    <w:rsid w:val="001176E9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B3C5F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66B36"/>
    <w:rsid w:val="0027157C"/>
    <w:rsid w:val="002761B1"/>
    <w:rsid w:val="00283771"/>
    <w:rsid w:val="0029210B"/>
    <w:rsid w:val="002A27C6"/>
    <w:rsid w:val="002B1314"/>
    <w:rsid w:val="002B1FF2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3915"/>
    <w:rsid w:val="003F4C80"/>
    <w:rsid w:val="0040429C"/>
    <w:rsid w:val="00430CA4"/>
    <w:rsid w:val="004360F8"/>
    <w:rsid w:val="00452111"/>
    <w:rsid w:val="0045563D"/>
    <w:rsid w:val="004866DB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35C1D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0A6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2CD2"/>
    <w:rsid w:val="00692DE5"/>
    <w:rsid w:val="00694D51"/>
    <w:rsid w:val="006A084E"/>
    <w:rsid w:val="006A19DF"/>
    <w:rsid w:val="006A7D7F"/>
    <w:rsid w:val="006B6BD6"/>
    <w:rsid w:val="006C2523"/>
    <w:rsid w:val="006D791C"/>
    <w:rsid w:val="006D7E33"/>
    <w:rsid w:val="006E16C7"/>
    <w:rsid w:val="006E7465"/>
    <w:rsid w:val="006F560A"/>
    <w:rsid w:val="0070323B"/>
    <w:rsid w:val="00712F98"/>
    <w:rsid w:val="007131C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96070"/>
    <w:rsid w:val="007B72F8"/>
    <w:rsid w:val="007D7F57"/>
    <w:rsid w:val="00800A09"/>
    <w:rsid w:val="008014F8"/>
    <w:rsid w:val="00806543"/>
    <w:rsid w:val="00814E16"/>
    <w:rsid w:val="00815498"/>
    <w:rsid w:val="00820B74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819D3"/>
    <w:rsid w:val="008A2C8C"/>
    <w:rsid w:val="008A338E"/>
    <w:rsid w:val="008B338E"/>
    <w:rsid w:val="008D5DCB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93022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B56CB"/>
    <w:rsid w:val="00AD21F5"/>
    <w:rsid w:val="00AD4369"/>
    <w:rsid w:val="00AD6678"/>
    <w:rsid w:val="00B064DC"/>
    <w:rsid w:val="00B15771"/>
    <w:rsid w:val="00B15D9C"/>
    <w:rsid w:val="00B17F43"/>
    <w:rsid w:val="00B2685F"/>
    <w:rsid w:val="00B312AA"/>
    <w:rsid w:val="00B34649"/>
    <w:rsid w:val="00B3780D"/>
    <w:rsid w:val="00B40140"/>
    <w:rsid w:val="00B41CDF"/>
    <w:rsid w:val="00B44031"/>
    <w:rsid w:val="00B455FE"/>
    <w:rsid w:val="00B51FA5"/>
    <w:rsid w:val="00B5712F"/>
    <w:rsid w:val="00B667EA"/>
    <w:rsid w:val="00B734EF"/>
    <w:rsid w:val="00B736BD"/>
    <w:rsid w:val="00B75EAF"/>
    <w:rsid w:val="00B82614"/>
    <w:rsid w:val="00B85010"/>
    <w:rsid w:val="00B87AD3"/>
    <w:rsid w:val="00BA5124"/>
    <w:rsid w:val="00BC10DA"/>
    <w:rsid w:val="00BE1E3C"/>
    <w:rsid w:val="00BF1120"/>
    <w:rsid w:val="00C241ED"/>
    <w:rsid w:val="00C414E0"/>
    <w:rsid w:val="00C50743"/>
    <w:rsid w:val="00C55118"/>
    <w:rsid w:val="00C720F1"/>
    <w:rsid w:val="00C77018"/>
    <w:rsid w:val="00C80013"/>
    <w:rsid w:val="00C83E3A"/>
    <w:rsid w:val="00C846C0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565FB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3108D"/>
    <w:rsid w:val="00E40910"/>
    <w:rsid w:val="00E4513A"/>
    <w:rsid w:val="00E5752E"/>
    <w:rsid w:val="00E7338E"/>
    <w:rsid w:val="00E777F5"/>
    <w:rsid w:val="00E77A9B"/>
    <w:rsid w:val="00E920B4"/>
    <w:rsid w:val="00E94376"/>
    <w:rsid w:val="00EA1AC5"/>
    <w:rsid w:val="00EB297C"/>
    <w:rsid w:val="00EC3F4B"/>
    <w:rsid w:val="00EC5449"/>
    <w:rsid w:val="00ED0806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A4690"/>
    <w:rsid w:val="00FB06DC"/>
    <w:rsid w:val="00FB4E7A"/>
    <w:rsid w:val="00FB53AB"/>
    <w:rsid w:val="00FB6120"/>
    <w:rsid w:val="00FB754A"/>
    <w:rsid w:val="00FC18C0"/>
    <w:rsid w:val="00FC32B6"/>
    <w:rsid w:val="00FC7A92"/>
    <w:rsid w:val="00FD49CC"/>
    <w:rsid w:val="00FE4F07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unhideWhenUsed/>
    <w:rsid w:val="00C84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C846C0"/>
  </w:style>
  <w:style w:type="character" w:styleId="af3">
    <w:name w:val="Hyperlink"/>
    <w:basedOn w:val="a0"/>
    <w:uiPriority w:val="99"/>
    <w:semiHidden/>
    <w:unhideWhenUsed/>
    <w:rsid w:val="00C846C0"/>
    <w:rPr>
      <w:color w:val="0000FF"/>
      <w:u w:val="single"/>
    </w:rPr>
  </w:style>
  <w:style w:type="character" w:customStyle="1" w:styleId="text-grey">
    <w:name w:val="text-grey"/>
    <w:basedOn w:val="a0"/>
    <w:rsid w:val="00C8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3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815370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977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BF0D-079D-48AD-9177-DA167BCD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11879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13936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2023-06-02T08:27:00Z</cp:lastPrinted>
  <dcterms:created xsi:type="dcterms:W3CDTF">2023-06-12T12:47:00Z</dcterms:created>
  <dcterms:modified xsi:type="dcterms:W3CDTF">2023-06-12T12:47:00Z</dcterms:modified>
</cp:coreProperties>
</file>