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D9" w:rsidRPr="001D776D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/>
        </w:rPr>
      </w:pPr>
      <w:r w:rsidRPr="001D776D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1D776D" w:rsidRDefault="00124AD9" w:rsidP="00124A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  <w:t>КА РАДА</w:t>
      </w:r>
    </w:p>
    <w:p w:rsidR="00124AD9" w:rsidRPr="001D776D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  <w:t>II СЕСІЯ ІХ СКЛИКАННЯ</w:t>
      </w:r>
    </w:p>
    <w:p w:rsidR="00124AD9" w:rsidRPr="001D776D" w:rsidRDefault="00124AD9" w:rsidP="0012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</w:pPr>
      <w:r w:rsidRPr="001D776D"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  <w:t>РІШЕННЯ</w:t>
      </w:r>
    </w:p>
    <w:p w:rsidR="00124AD9" w:rsidRPr="003F2CCC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____________№_______________</w:t>
      </w:r>
    </w:p>
    <w:p w:rsidR="00124AD9" w:rsidRPr="003F2CCC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C74A2"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</w:t>
      </w:r>
      <w:r w:rsidR="001D776D"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</w:t>
      </w:r>
      <w:r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p w:rsidR="00CB35E0" w:rsidRPr="003F2CCC" w:rsidRDefault="00CB35E0" w:rsidP="00CB35E0">
      <w:pPr>
        <w:pStyle w:val="3"/>
        <w:spacing w:before="0" w:beforeAutospacing="0" w:after="0" w:afterAutospacing="0"/>
        <w:ind w:left="709" w:right="1842"/>
        <w:jc w:val="both"/>
        <w:rPr>
          <w:color w:val="000000" w:themeColor="text1"/>
          <w:sz w:val="28"/>
          <w:szCs w:val="28"/>
        </w:rPr>
      </w:pPr>
      <w:r w:rsidRPr="003F2CCC">
        <w:rPr>
          <w:color w:val="000000" w:themeColor="text1"/>
          <w:sz w:val="28"/>
          <w:szCs w:val="28"/>
        </w:rPr>
        <w:t xml:space="preserve">Про внесення змін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щодо забезпечення фінансування додаткових заходів </w:t>
      </w:r>
      <w:r w:rsidRPr="003F2CCC">
        <w:rPr>
          <w:sz w:val="28"/>
          <w:szCs w:val="28"/>
          <w:shd w:val="clear" w:color="auto" w:fill="FFFFFF"/>
        </w:rPr>
        <w:t xml:space="preserve">у сфері соціального захисту та соціального забезпечення </w:t>
      </w:r>
      <w:r w:rsidRPr="003F2CCC">
        <w:rPr>
          <w:color w:val="000000" w:themeColor="text1"/>
          <w:sz w:val="28"/>
          <w:szCs w:val="28"/>
        </w:rPr>
        <w:t>в умовах запровадженого в Україні правового режиму воєнного стану на 2023 рік</w:t>
      </w: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вимог Бюджетного та Податкового кодексів України, пункту 22 частини першої статті 26 Закону України «Про місцеве самоврядування в Україні», статті 17 Закону України «Про статус депутатів місцевих рад», Регламенту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ради, затвердженого рішенням Київської міської ради від 04.11.2021 року № 3135/3176, з метою посилення соціального захисту окремих категорій осіб, які проживають у місті Києві в умовах запровадженого в Україні правового режиму воєнного стану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Київська міська рада</w:t>
      </w:r>
    </w:p>
    <w:p w:rsidR="00CB35E0" w:rsidRPr="003F2CCC" w:rsidRDefault="00CB35E0" w:rsidP="00CB3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ВИРІШИЛА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B35E0" w:rsidRPr="003F2CCC" w:rsidRDefault="00CB35E0" w:rsidP="00CB35E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2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Таблицю «Ресурсне забезпечення Програми» пункту 4 додатка 1 до Програми вирішення депутатами Київської міської ради соціально-економічних проблем, виконання передвиборних програм та доручень виборців на 2021 – 2025 роки, затвердженої рішенням Київської міської ради від 14 грудня 2020 року № 10/10 викласти в такій редакції:</w:t>
      </w:r>
    </w:p>
    <w:p w:rsidR="00CB35E0" w:rsidRPr="003F2CCC" w:rsidRDefault="00CB35E0" w:rsidP="00CB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F2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</w:p>
    <w:p w:rsidR="00CB35E0" w:rsidRPr="003F2CCC" w:rsidRDefault="00CB35E0" w:rsidP="00CB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0" w:name="9"/>
      <w:bookmarkEnd w:id="0"/>
      <w:r w:rsidRPr="003F2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Ресурсне забезпечення Програми</w:t>
      </w:r>
    </w:p>
    <w:p w:rsidR="00CB35E0" w:rsidRPr="003F2CCC" w:rsidRDefault="00CB35E0" w:rsidP="00CB3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1" w:name="10"/>
      <w:bookmarkEnd w:id="1"/>
      <w:r w:rsidRPr="003F2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тис. грн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349"/>
        <w:gridCol w:w="1349"/>
        <w:gridCol w:w="1349"/>
        <w:gridCol w:w="1349"/>
        <w:gridCol w:w="1371"/>
      </w:tblGrid>
      <w:tr w:rsidR="00CB35E0" w:rsidRPr="003F2CCC" w:rsidTr="00A314F3">
        <w:trPr>
          <w:tblCellSpacing w:w="22" w:type="dxa"/>
        </w:trPr>
        <w:tc>
          <w:tcPr>
            <w:tcW w:w="1500" w:type="pct"/>
            <w:vMerge w:val="restar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" w:name="11"/>
            <w:bookmarkEnd w:id="2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Обсяг коштів на виконання заходів Програми</w:t>
            </w:r>
          </w:p>
        </w:tc>
        <w:tc>
          <w:tcPr>
            <w:tcW w:w="3500" w:type="pct"/>
            <w:gridSpan w:val="5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3" w:name="12"/>
            <w:bookmarkEnd w:id="3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Термін реалізації Програми, роки</w:t>
            </w:r>
          </w:p>
        </w:tc>
      </w:tr>
      <w:tr w:rsidR="00CB35E0" w:rsidRPr="003F2CCC" w:rsidTr="00A314F3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4" w:name="13"/>
            <w:bookmarkEnd w:id="4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2021 рік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5" w:name="14"/>
            <w:bookmarkEnd w:id="5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2022 рік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6" w:name="15"/>
            <w:bookmarkEnd w:id="6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2023 рік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7" w:name="16"/>
            <w:bookmarkEnd w:id="7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2024 рік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8" w:name="17"/>
            <w:bookmarkEnd w:id="8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2025 рік</w:t>
            </w:r>
          </w:p>
        </w:tc>
      </w:tr>
      <w:tr w:rsidR="00CB35E0" w:rsidRPr="003F2CCC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9" w:name="18"/>
            <w:bookmarkEnd w:id="9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lastRenderedPageBreak/>
              <w:t>Забезпечення вирішення депутатами Київської міської ради соціально-економічних проблем, виконання передвиборних програм та доручень виборців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0" w:name="19"/>
            <w:bookmarkEnd w:id="10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1" w:name="20"/>
            <w:bookmarkEnd w:id="11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180000,0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2" w:name="21"/>
            <w:bookmarkEnd w:id="12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720000,0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3" w:name="22"/>
            <w:bookmarkEnd w:id="13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4" w:name="23"/>
            <w:bookmarkEnd w:id="14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120000,0</w:t>
            </w:r>
          </w:p>
        </w:tc>
      </w:tr>
      <w:tr w:rsidR="00CB35E0" w:rsidRPr="003F2CCC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5" w:name="24"/>
            <w:bookmarkEnd w:id="15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 xml:space="preserve">Забезпечення діяльності громадських </w:t>
            </w:r>
            <w:proofErr w:type="spellStart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приймалень</w:t>
            </w:r>
            <w:proofErr w:type="spellEnd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 xml:space="preserve"> депутатів Київської міської ради (утримання)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6" w:name="25"/>
            <w:bookmarkEnd w:id="16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77628,8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7" w:name="26"/>
            <w:bookmarkEnd w:id="17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97550,0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8" w:name="27"/>
            <w:bookmarkEnd w:id="18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102720,1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19" w:name="28"/>
            <w:bookmarkEnd w:id="19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107856,1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0" w:name="29"/>
            <w:bookmarkEnd w:id="20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113248,9</w:t>
            </w:r>
          </w:p>
        </w:tc>
      </w:tr>
      <w:tr w:rsidR="00CB35E0" w:rsidRPr="003F2CCC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1" w:name="30"/>
            <w:bookmarkEnd w:id="21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Всього обсяг ресурсів бюджету м. Києва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2" w:name="31"/>
            <w:bookmarkEnd w:id="22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197628,8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3" w:name="32"/>
            <w:bookmarkEnd w:id="23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277550,0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4" w:name="33"/>
            <w:bookmarkEnd w:id="24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822720,1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5" w:name="34"/>
            <w:bookmarkEnd w:id="25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227856,1</w:t>
            </w:r>
          </w:p>
        </w:tc>
        <w:tc>
          <w:tcPr>
            <w:tcW w:w="7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</w:pPr>
            <w:bookmarkStart w:id="26" w:name="35"/>
            <w:bookmarkEnd w:id="26"/>
            <w:r w:rsidRPr="003F2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uk-UA" w:eastAsia="uk-UA"/>
              </w:rPr>
              <w:t>233248,9</w:t>
            </w:r>
          </w:p>
        </w:tc>
      </w:tr>
    </w:tbl>
    <w:p w:rsidR="00CB35E0" w:rsidRPr="003F2CCC" w:rsidRDefault="00CB35E0" w:rsidP="00CB35E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CB35E0" w:rsidRPr="003F2CCC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Офіційно оприлюднити це рішення в установленому порядку.</w:t>
      </w:r>
    </w:p>
    <w:p w:rsidR="00CB35E0" w:rsidRPr="003F2CCC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7" w:name="71"/>
      <w:bookmarkEnd w:id="27"/>
      <w:r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CB35E0" w:rsidRPr="003F2CCC" w:rsidRDefault="00CB35E0" w:rsidP="00CB3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8" w:name="72"/>
      <w:bookmarkEnd w:id="28"/>
      <w:r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CB35E0" w:rsidRPr="003F2CCC" w:rsidRDefault="00CB35E0" w:rsidP="00CB3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B35E0" w:rsidRPr="003F2CCC" w:rsidTr="00A314F3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29" w:name="73"/>
            <w:bookmarkEnd w:id="29"/>
            <w:r w:rsidRPr="003F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CB35E0" w:rsidRPr="003F2CCC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30" w:name="74"/>
            <w:bookmarkEnd w:id="30"/>
            <w:r w:rsidRPr="003F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Віталій КЛИЧКО</w:t>
            </w:r>
          </w:p>
        </w:tc>
      </w:tr>
    </w:tbl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ПОДАННЯ:</w:t>
      </w: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</w:t>
      </w: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бюджету та соціально-</w:t>
      </w:r>
    </w:p>
    <w:p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</w:t>
      </w: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Андрій ВІТРЕНКО</w:t>
      </w: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Владислав АНДРОНОВ</w:t>
      </w: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управління правового </w:t>
      </w:r>
    </w:p>
    <w:p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Київської</w:t>
      </w:r>
    </w:p>
    <w:p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секретаріату Київської </w:t>
      </w:r>
    </w:p>
    <w:p w:rsidR="00CB35E0" w:rsidRPr="003F2CCC" w:rsidRDefault="00CB35E0" w:rsidP="00CB35E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3F2CCC"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«Про внесення змін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щодо забезпечення фінансування додаткових заходів </w:t>
      </w:r>
      <w:r w:rsidRPr="003F2C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сфері соціального захисту та соціального забезпечення </w:t>
      </w: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умовах запровадженого в Україні правового режиму воєнного стану на 2023 рік»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Pr="003F2CCC" w:rsidRDefault="00CB35E0" w:rsidP="00CB35E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введеного в Україні правового режиму воєнного стану все більше набуває ваги питання соціального захисту населення. Так, відповідно до даних соціологічних досліджень</w:t>
      </w:r>
      <w:r w:rsidRPr="003F2C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footnoteReference w:id="1"/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зміну у роботі та  оплаті праці відчула значна кількість українців. Зокрема, 31% працює не на повну потужність, 28% відчули скорочення оплати праці, по 16% втратили ринки збуту чи клієнтів та вимушені працювати дистанційно.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даними</w:t>
      </w:r>
      <w:r w:rsidRPr="003F2C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footnoteReference w:id="2"/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організації об'єднаних націй (ООН), в Україні внаслідок повномасштабного нападу </w:t>
      </w:r>
      <w:proofErr w:type="spellStart"/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росії</w:t>
      </w:r>
      <w:proofErr w:type="spellEnd"/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половина підприємств виявилася закритою, друга половина зазнає труднощів. В ООН вважають, що якщо війна затягнеться терміном більше одного року, то економічні досягнення останніх двох десятиліть можуть бути втрачені, а 90% населення опиняться за межею бідності.</w:t>
      </w:r>
    </w:p>
    <w:p w:rsidR="00CB35E0" w:rsidRPr="003F2CCC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Близько 20% опитаних</w:t>
      </w:r>
      <w:r w:rsidRPr="003F2CCC">
        <w:rPr>
          <w:rStyle w:val="a8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 із умовно безпечних регіонів втратили роботу (або дохід від неї) через війну. Проте третина цієї кількості (майже 7%) вже знайшла іншу. 10,5% втратили роботу і поки що не знайшли нову, а 3% формально її не втратили, але зараз не отримують зарплату. Фінансові заощадження мають близько 2/3 респондентів. Лише 11% з них зможуть прожити на них понад півроку. Основна частина все ж таки не зможе довго прожити на ці заощадження: 9% – до тижня; 21,5% – до місяця, 42,5% – за кілька місяців.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цьому,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найбільше пільг та гарантій від держави, на думку опитаних</w:t>
      </w:r>
      <w:r w:rsidRPr="003F2C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footnoteReference w:id="4"/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повинні мати ветерани російсько-української війни (50%), особи з інвалідністю (34%) та багатодітні сім’ї (31%). Пільги для пенсіонерів та матерів/батьків одинаків підтримують</w:t>
      </w:r>
      <w:r w:rsidRPr="00A95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 17%, для малозабезпечених і внутрішньо-переселених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осіб – по 12-13%.</w:t>
      </w:r>
    </w:p>
    <w:p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 останнього місяця Україна зазнає масштабних атак ворога по об’єктам критичної цивільної інфраструктури, внаслідок чого в місті Києві, як і в інших областях України, застосовуються стабілізаційні та екстрені відключення електроенергії, відчуваються перебої із водопостачанням.</w:t>
      </w: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 у 2022/2023 році чекає один із найважчих в історії України опалювальних сезонів</w:t>
      </w:r>
      <w:r w:rsidRPr="003F2CC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footnoteReference w:id="5"/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існує об’єктивна необхідність у стабілізації ситуації в місті Києві, зокрема, але не виключно, можливо розгортання пунктів обігріву, забезпечення питною водою, забезпечення гарячою їжею тощо.</w:t>
      </w:r>
    </w:p>
    <w:p w:rsidR="003F2CCC" w:rsidRDefault="003F2CCC" w:rsidP="003F2CCC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до громадських </w:t>
      </w:r>
      <w:proofErr w:type="spellStart"/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приймалень</w:t>
      </w:r>
      <w:proofErr w:type="spellEnd"/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депутатів Київської міської ради надходять чисельні звернення киян щодо фінансової підтримки та </w:t>
      </w:r>
      <w:r w:rsidRPr="003F2CCC">
        <w:rPr>
          <w:rFonts w:ascii="Times New Roman" w:hAnsi="Times New Roman"/>
          <w:sz w:val="28"/>
          <w:szCs w:val="28"/>
          <w:lang w:val="uk-UA"/>
        </w:rPr>
        <w:t>забезпеченні їх потреб у сфері соціально-культурних, житлово-комунальних, побутових, інших заходів, робіт, послуг, виконанні ремонтно-будівельних робіт, спрямованих на відновлення житлового фонду, благоустрій міста, поліпшення матеріально-технічної бази та стану приміщень бюджетних установ соціально-культурної сфери міста тощо.</w:t>
      </w:r>
    </w:p>
    <w:p w:rsidR="00CB35E0" w:rsidRPr="003F2CCC" w:rsidRDefault="003F2CCC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CB35E0" w:rsidRPr="003F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ошти бюджету міста Києва, передбачені </w:t>
      </w:r>
      <w:r w:rsidR="00CB35E0" w:rsidRPr="003F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вирішення депутатами Київської міської ради соціально-економічних проблем, виконання передвиборчих програм та доручень виборців додатково у 2023 році </w:t>
      </w:r>
      <w:r w:rsidR="004E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будуть</w:t>
      </w:r>
      <w:r w:rsidR="00CB35E0" w:rsidRPr="003F2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додатковою можливістю </w:t>
      </w:r>
      <w:r w:rsidR="00CB35E0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посилення соціального захисту окремих категорій осіб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проживають у місті Києві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для розв’язання важливих проблем міста  </w:t>
      </w:r>
      <w:r w:rsidR="00CB35E0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запровадженого в Україні правового режиму воєнного стану.</w:t>
      </w:r>
    </w:p>
    <w:p w:rsidR="003F2CCC" w:rsidRPr="003F2CCC" w:rsidRDefault="003F2CCC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5E0" w:rsidRDefault="00CB35E0" w:rsidP="00CB35E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до 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вимог Бюджетного та Податкового кодексів України, пункту 22 частини першої статті 26 Закону України «Про місцеве самоврядування в Україні», статті 17 Закону України «Про статус депутатів місцевих рад», </w:t>
      </w:r>
      <w:r w:rsidRPr="00CB35E0">
        <w:rPr>
          <w:rFonts w:ascii="Times New Roman" w:hAnsi="Times New Roman" w:cs="Times New Roman"/>
          <w:sz w:val="28"/>
          <w:szCs w:val="28"/>
          <w:lang w:val="uk-UA" w:eastAsia="uk-UA"/>
        </w:rPr>
        <w:t>Регламенту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ради, затвердженого рішенням Київської міської ради від 04.11.2021 року № 3135/3176.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Так, пункт 22 частини першої статті 26 Закону України «Про місцеве самоврядування в Україні» визначає, що включно на пленарних засіданнях сільської, селищної, міської ради вирішуються такі питання затвердження програм соціально-економічного та культурного розвитку відповідних адміністративно-територіальних одиниць, цільових програм з інших питань місцевого самоврядування.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частини шостої статті 17 Закону України «Про статус депутатів місцевих рад» доручення виборців враховуються при розробці планів і програм економічного та соціального розвитку відповідної території, місцевих економічних програм, складанні бюджету, а також при підготовці рішень з інших питань.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</w:p>
    <w:p w:rsid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4E271D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з метою 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посилення соціального захисту окремих категорій осіб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проживають у місті Києві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для розв’язання важливих проблем міста  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запровадженого в Україні правового режиму воєнного стану</w:t>
      </w:r>
    </w:p>
    <w:p w:rsidR="00CB35E0" w:rsidRPr="004E271D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600,0 млн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6,0 млн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приймальню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(одного) депутата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ради) дозволять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соціально незахищені верстви населення міста </w:t>
      </w:r>
      <w:proofErr w:type="gramStart"/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Києва,  також</w:t>
      </w:r>
      <w:proofErr w:type="gramEnd"/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забезпечити </w:t>
      </w:r>
      <w:proofErr w:type="spellStart"/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фінанснування</w:t>
      </w:r>
      <w:proofErr w:type="spellEnd"/>
      <w:r w:rsidR="004E27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заходів для розв’язання важливих проблем міста  </w:t>
      </w:r>
      <w:r w:rsidR="004E271D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умовах воєнного стану.</w:t>
      </w:r>
    </w:p>
    <w:p w:rsid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35E0" w:rsidRDefault="00CB35E0" w:rsidP="00CB35E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 w:rsidRPr="00B72F5F">
        <w:rPr>
          <w:rFonts w:ascii="Times New Roman" w:hAnsi="Times New Roman" w:cs="Times New Roman"/>
          <w:sz w:val="28"/>
          <w:szCs w:val="28"/>
        </w:rPr>
        <w:t>проекту рішення Київської міської ради потребує додаткових витрат з бюджету міста Києва у обсязі 60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F5F">
        <w:rPr>
          <w:rFonts w:ascii="Times New Roman" w:hAnsi="Times New Roman" w:cs="Times New Roman"/>
          <w:sz w:val="28"/>
          <w:szCs w:val="28"/>
        </w:rPr>
        <w:t xml:space="preserve">,0 млн грн, які будуть передбачені головному розпорядникові бюджетний коштів </w:t>
      </w:r>
      <w:r w:rsidRPr="00B7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 (Секретаріат)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рахунок економії коштів бюджету міста Києва у 2022-2023 роках</w:t>
      </w:r>
      <w:r w:rsidRPr="00B72F5F">
        <w:rPr>
          <w:rFonts w:ascii="Times New Roman" w:hAnsi="Times New Roman" w:cs="Times New Roman"/>
          <w:sz w:val="28"/>
          <w:szCs w:val="28"/>
        </w:rPr>
        <w:t>.</w:t>
      </w:r>
    </w:p>
    <w:p w:rsid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Джерелами покриття </w:t>
      </w:r>
      <w:r w:rsidRPr="00B72F5F">
        <w:rPr>
          <w:rFonts w:ascii="Times New Roman" w:hAnsi="Times New Roman" w:cs="Times New Roman"/>
          <w:sz w:val="28"/>
          <w:szCs w:val="28"/>
        </w:rPr>
        <w:t>витрат з бюджету міста Києва у обсязі 60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F5F">
        <w:rPr>
          <w:rFonts w:ascii="Times New Roman" w:hAnsi="Times New Roman" w:cs="Times New Roman"/>
          <w:sz w:val="28"/>
          <w:szCs w:val="28"/>
        </w:rPr>
        <w:t>,0 млн грн</w:t>
      </w:r>
      <w:r>
        <w:rPr>
          <w:rFonts w:ascii="Times New Roman" w:hAnsi="Times New Roman" w:cs="Times New Roman"/>
          <w:sz w:val="28"/>
          <w:szCs w:val="28"/>
        </w:rPr>
        <w:t xml:space="preserve"> є зменшення витрат бюджету міста Києва у зв’язку із запровадженням заходів, </w:t>
      </w:r>
      <w:r w:rsidRPr="00AB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передбачених </w:t>
      </w:r>
      <w:r w:rsidRPr="00AB4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пунктом 22 розділу VI «Прикінцеві та перехідні положення» Бюджетного кодексу України,</w:t>
      </w:r>
      <w:r w:rsidRPr="00AB4B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Порядком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№ 590.</w:t>
      </w:r>
    </w:p>
    <w:p w:rsidR="00CB35E0" w:rsidRP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Суб’єктом подання проекту рішення є постійна комісія Київської міської ради з питань бюджету та соціально-економічного розвитку.</w:t>
      </w:r>
    </w:p>
    <w:p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Особою, відповідальною за супроводження проекту рішення та доповідачем проекту рішення на пленарному засіданні є </w:t>
      </w:r>
      <w:r w:rsidR="00A956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</w:t>
      </w: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постійної комісії Київської міської ради з питань бюджету та соціально-економічного розвитку </w:t>
      </w:r>
      <w:r w:rsidR="00651C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Андрій Вітренко.</w:t>
      </w:r>
    </w:p>
    <w:p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51C49" w:rsidRPr="00CB35E0" w:rsidRDefault="00651C49" w:rsidP="00651C4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1C49" w:rsidRPr="00CB35E0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</w:t>
      </w:r>
    </w:p>
    <w:p w:rsidR="00651C49" w:rsidRPr="00CB35E0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бюджету та соціально-</w:t>
      </w:r>
    </w:p>
    <w:p w:rsidR="00651C49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</w:p>
    <w:p w:rsidR="00651C49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ВІТРЕНКО</w:t>
      </w:r>
    </w:p>
    <w:p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Владислав АНДРОНОВ</w:t>
      </w:r>
    </w:p>
    <w:p w:rsidR="00651C49" w:rsidRDefault="00651C49" w:rsidP="00651C49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5E0" w:rsidRPr="00396999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_GoBack"/>
      <w:bookmarkEnd w:id="3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Київської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</w:t>
      </w:r>
    </w:p>
    <w:p w:rsidR="00CB35E0" w:rsidRPr="00396999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внесення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змін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Програми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вирішення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депутатами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Київської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соціально-економічних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проблем,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передвиборних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доручень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виборців</w:t>
      </w:r>
      <w:proofErr w:type="spellEnd"/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2021 - 2025 роки</w:t>
      </w: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35E0" w:rsidRDefault="00CB35E0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35E0" w:rsidRPr="00974637" w:rsidRDefault="00CB35E0" w:rsidP="00CB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</w:t>
      </w:r>
      <w:proofErr w:type="spellEnd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proofErr w:type="spellEnd"/>
    </w:p>
    <w:p w:rsidR="00CB35E0" w:rsidRPr="00974637" w:rsidRDefault="00CB35E0" w:rsidP="00CB3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тис.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proofErr w:type="spellEnd"/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349"/>
        <w:gridCol w:w="1349"/>
        <w:gridCol w:w="1349"/>
        <w:gridCol w:w="1349"/>
        <w:gridCol w:w="1371"/>
      </w:tblGrid>
      <w:tr w:rsidR="00CB35E0" w:rsidRPr="00974637" w:rsidTr="00A314F3">
        <w:trPr>
          <w:tblCellSpacing w:w="22" w:type="dxa"/>
        </w:trPr>
        <w:tc>
          <w:tcPr>
            <w:tcW w:w="1500" w:type="pct"/>
            <w:vMerge w:val="restar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коштів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на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виконання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заходів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3500" w:type="pct"/>
            <w:gridSpan w:val="5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Термін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реалізації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Програми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, роки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2021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2022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2023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2024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2025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</w:tr>
      <w:tr w:rsidR="00CB35E0" w:rsidRPr="00974637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вирішення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депутатами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Київської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міської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ради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соціально-економічних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проблем,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виконання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передвиборних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та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доручень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виборців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1</w:t>
            </w:r>
            <w:r w:rsidRPr="00022F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20000,0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діяльності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громадських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приймалень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депутатів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Київської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міської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ради (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утримання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77628,8</w:t>
            </w:r>
          </w:p>
        </w:tc>
        <w:tc>
          <w:tcPr>
            <w:tcW w:w="700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97550,0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102720,1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107856,1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113248,9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Всього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ресурсів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бюджету м.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Києва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197628,8</w:t>
            </w:r>
          </w:p>
        </w:tc>
        <w:tc>
          <w:tcPr>
            <w:tcW w:w="700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217550,0</w:t>
            </w:r>
          </w:p>
        </w:tc>
        <w:tc>
          <w:tcPr>
            <w:tcW w:w="700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</w:t>
            </w:r>
            <w:r w:rsidRPr="00022F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22720,1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227856,1</w:t>
            </w:r>
          </w:p>
        </w:tc>
        <w:tc>
          <w:tcPr>
            <w:tcW w:w="700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233248,9</w:t>
            </w:r>
          </w:p>
        </w:tc>
      </w:tr>
    </w:tbl>
    <w:p w:rsidR="00CB35E0" w:rsidRDefault="00CB35E0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E0" w:rsidRDefault="00CB35E0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Запропонована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35E0" w:rsidRPr="00974637" w:rsidRDefault="00CB35E0" w:rsidP="00CB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</w:t>
      </w:r>
      <w:proofErr w:type="spellEnd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proofErr w:type="spellEnd"/>
    </w:p>
    <w:p w:rsidR="00CB35E0" w:rsidRPr="00974637" w:rsidRDefault="00CB35E0" w:rsidP="00CB3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тис. </w:t>
      </w:r>
      <w:proofErr w:type="spellStart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proofErr w:type="spellEnd"/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324"/>
        <w:gridCol w:w="1324"/>
        <w:gridCol w:w="1325"/>
        <w:gridCol w:w="1325"/>
        <w:gridCol w:w="1522"/>
      </w:tblGrid>
      <w:tr w:rsidR="00CB35E0" w:rsidRPr="00974637" w:rsidTr="00A314F3">
        <w:trPr>
          <w:tblCellSpacing w:w="22" w:type="dxa"/>
        </w:trPr>
        <w:tc>
          <w:tcPr>
            <w:tcW w:w="1451" w:type="pct"/>
            <w:vMerge w:val="restar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коштів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на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виконання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заходів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3478" w:type="pct"/>
            <w:gridSpan w:val="5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Термін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реалізації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Програми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, роки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2021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2022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2023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2024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2025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рік</w:t>
            </w:r>
            <w:proofErr w:type="spellEnd"/>
          </w:p>
        </w:tc>
      </w:tr>
      <w:tr w:rsidR="00CB35E0" w:rsidRPr="00974637" w:rsidTr="00A314F3">
        <w:trPr>
          <w:tblCellSpacing w:w="22" w:type="dxa"/>
        </w:trPr>
        <w:tc>
          <w:tcPr>
            <w:tcW w:w="1451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вирішення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депутатами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Київської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міської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ради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соціально-економічних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проблем,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виконання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передвиборних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програм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та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доручень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виборців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677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180000,0</w:t>
            </w:r>
          </w:p>
        </w:tc>
        <w:tc>
          <w:tcPr>
            <w:tcW w:w="677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720000,0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1451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діяльності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громадських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приймалень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депутатів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Київської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міської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ради (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утримання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77628,8</w:t>
            </w:r>
          </w:p>
        </w:tc>
        <w:tc>
          <w:tcPr>
            <w:tcW w:w="677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97550,0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102720,1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107856,1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113248,9</w:t>
            </w:r>
          </w:p>
        </w:tc>
      </w:tr>
      <w:tr w:rsidR="00CB35E0" w:rsidRPr="00974637" w:rsidTr="00A314F3">
        <w:trPr>
          <w:tblCellSpacing w:w="22" w:type="dxa"/>
        </w:trPr>
        <w:tc>
          <w:tcPr>
            <w:tcW w:w="1451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Всього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ресурсів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бюджету м.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Києва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197628,8</w:t>
            </w:r>
          </w:p>
        </w:tc>
        <w:tc>
          <w:tcPr>
            <w:tcW w:w="677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277550,0</w:t>
            </w:r>
          </w:p>
        </w:tc>
        <w:tc>
          <w:tcPr>
            <w:tcW w:w="677" w:type="pct"/>
            <w:vAlign w:val="center"/>
            <w:hideMark/>
          </w:tcPr>
          <w:p w:rsidR="00CB35E0" w:rsidRPr="00022FCB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022F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822720,1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227856,1</w:t>
            </w:r>
          </w:p>
        </w:tc>
        <w:tc>
          <w:tcPr>
            <w:tcW w:w="677" w:type="pct"/>
            <w:vAlign w:val="center"/>
            <w:hideMark/>
          </w:tcPr>
          <w:p w:rsidR="00CB35E0" w:rsidRPr="0097463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233248,9</w:t>
            </w:r>
          </w:p>
        </w:tc>
      </w:tr>
    </w:tbl>
    <w:p w:rsidR="00CB35E0" w:rsidRPr="001D776D" w:rsidRDefault="00CB35E0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CB35E0" w:rsidRPr="001D776D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CF" w:rsidRDefault="001B66CF" w:rsidP="00CB35E0">
      <w:pPr>
        <w:spacing w:after="0" w:line="240" w:lineRule="auto"/>
      </w:pPr>
      <w:r>
        <w:separator/>
      </w:r>
    </w:p>
  </w:endnote>
  <w:endnote w:type="continuationSeparator" w:id="0">
    <w:p w:rsidR="001B66CF" w:rsidRDefault="001B66CF" w:rsidP="00C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CF" w:rsidRDefault="001B66CF" w:rsidP="00CB35E0">
      <w:pPr>
        <w:spacing w:after="0" w:line="240" w:lineRule="auto"/>
      </w:pPr>
      <w:r>
        <w:separator/>
      </w:r>
    </w:p>
  </w:footnote>
  <w:footnote w:type="continuationSeparator" w:id="0">
    <w:p w:rsidR="001B66CF" w:rsidRDefault="001B66CF" w:rsidP="00CB35E0">
      <w:pPr>
        <w:spacing w:after="0" w:line="240" w:lineRule="auto"/>
      </w:pPr>
      <w:r>
        <w:continuationSeparator/>
      </w:r>
    </w:p>
  </w:footnote>
  <w:footnote w:id="1">
    <w:p w:rsidR="00CB35E0" w:rsidRPr="003D195E" w:rsidRDefault="00CB35E0" w:rsidP="00CB35E0">
      <w:pPr>
        <w:pStyle w:val="a6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Режим доступу: https://ratinggroup.ua/research/ukraine/opros_iri_obschestvenno-politicheskie_nastroeniya_v_ukraine_iyun_2022.html</w:t>
      </w:r>
    </w:p>
    <w:p w:rsidR="00CB35E0" w:rsidRPr="003D195E" w:rsidRDefault="00CB35E0" w:rsidP="00CB35E0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Опитування Міжнародного республіканського інституту було проведено Соціологічною групою «Рейтинг» по всій Україні (крім окупованих територій Криму, Донецької та Луганської областей) 27-28 червня 2022 року. Метод опитування –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Computer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Assisted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Telephone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Interviewing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(CATI) – телефонні інтерв'ю з використанням комп'ютера, на основі випадкової вибірки мобільних номерів. Всього було опитано n= 2,004 жителів України віком 18 років і старше. Вибірка не включає українців, які зараз не перебувають в Україні. Отримані дані опитування зважено за регіональним та віковим показниками з використанням даних Державної служби статистики України на 1 січня 2020 року.  Помилка репрезентативності дослідження з довірчою імовірністю 0,95 не перевищує 2.0%. Коефіцієнт досяжності респондентів – 16%. Опитування було проведено за фінансової підтримки Агентства США з міжнародного розвитку (USAID).   </w:t>
      </w:r>
    </w:p>
  </w:footnote>
  <w:footnote w:id="2">
    <w:p w:rsidR="00CB35E0" w:rsidRPr="003D195E" w:rsidRDefault="00CB35E0" w:rsidP="00CB35E0">
      <w:pPr>
        <w:pStyle w:val="a6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Режим доступу: https://feature.undp.org/war-in-ukraine/</w:t>
      </w:r>
    </w:p>
  </w:footnote>
  <w:footnote w:id="3">
    <w:p w:rsidR="00CB35E0" w:rsidRPr="00B72F5F" w:rsidRDefault="00CB35E0" w:rsidP="00CB35E0">
      <w:pPr>
        <w:pStyle w:val="a6"/>
        <w:jc w:val="both"/>
        <w:rPr>
          <w:rFonts w:ascii="Times New Roman" w:hAnsi="Times New Roman" w:cs="Times New Roman"/>
        </w:rPr>
      </w:pPr>
      <w:r w:rsidRPr="00B72F5F">
        <w:rPr>
          <w:rStyle w:val="a8"/>
          <w:rFonts w:ascii="Times New Roman" w:hAnsi="Times New Roman" w:cs="Times New Roman"/>
        </w:rPr>
        <w:footnoteRef/>
      </w:r>
      <w:r w:rsidRPr="00B72F5F">
        <w:rPr>
          <w:rFonts w:ascii="Times New Roman" w:hAnsi="Times New Roman" w:cs="Times New Roman"/>
        </w:rPr>
        <w:t xml:space="preserve"> Режим доступу: https://dif.org.ua/article/samopochuttya-ukraintsiv-pid-chas-viyni-emotsii-ochikuvannya-osobistiy-dosvid-opituvannya-u-zakhidnikh-ta-tsentralnikh-regionakh___-</w:t>
      </w:r>
    </w:p>
    <w:p w:rsidR="00CB35E0" w:rsidRPr="00B72F5F" w:rsidRDefault="00CB35E0" w:rsidP="00CB3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Опитування методом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face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face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було проведене Фондом «Демократичні ініціативи» імені Ілька </w:t>
      </w:r>
      <w:proofErr w:type="spellStart"/>
      <w:r w:rsidRPr="00CB35E0">
        <w:rPr>
          <w:rFonts w:ascii="Times New Roman" w:hAnsi="Times New Roman" w:cs="Times New Roman"/>
          <w:sz w:val="20"/>
          <w:szCs w:val="20"/>
          <w:lang w:val="uk-UA"/>
        </w:rPr>
        <w:t>Кучеріва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спільно з Центром політичної соціології за підтримки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John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Fell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Oxford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Fund</w:t>
      </w:r>
      <w:proofErr w:type="spellEnd"/>
      <w:r w:rsidRPr="00CB35E0">
        <w:rPr>
          <w:rFonts w:ascii="Times New Roman" w:hAnsi="Times New Roman" w:cs="Times New Roman"/>
          <w:sz w:val="20"/>
          <w:szCs w:val="20"/>
          <w:lang w:val="uk-UA"/>
        </w:rPr>
        <w:t xml:space="preserve"> впродовж 7–15 травня 2022 р. Загалом було опитано 1000 респондентів за вибіркою, що репрезентує доросле населення Заходу (Волинська, Закарпатська, Івано-Франківська, Львівська, Рівненська, Тернопільська, Чернівецька області) та Центру (Вінницька, Кіровоградська, Хмельницька, Черкаська області) України.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Вибірка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репрезентативна за такими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показниками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, як стать,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вік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, тип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поселення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та область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. Максимальна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випадкова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похибка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вибірки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перевищує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3,1%.</w:t>
      </w:r>
    </w:p>
  </w:footnote>
  <w:footnote w:id="4">
    <w:p w:rsidR="00CB35E0" w:rsidRPr="003D195E" w:rsidRDefault="00CB35E0" w:rsidP="00CB35E0">
      <w:pPr>
        <w:pStyle w:val="a6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Режим доступу: https://ratinggroup.ua/research/ukraine/shestnadca_obschenaci_opros_ukraina_vo_vremya_voyny_obraz_veteranov_v_ukrainskom_obschestve_6-7_avgu.html </w:t>
      </w:r>
    </w:p>
    <w:p w:rsidR="00CB35E0" w:rsidRPr="001D2166" w:rsidRDefault="00CB35E0" w:rsidP="00CB35E0">
      <w:pPr>
        <w:pStyle w:val="a6"/>
        <w:jc w:val="both"/>
        <w:rPr>
          <w:rFonts w:ascii="Times New Roman" w:hAnsi="Times New Roman" w:cs="Times New Roman"/>
        </w:rPr>
      </w:pP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Опитування проведено з ініціативи «Українського ветеранського фонду» Міністерства у справах ветеранів України. Профінансовано Соціологічною групою «Рейтинг». Аудиторія: населення України віком від 18 років і старші 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 Результати зважені з використанням актуальних даних Державної служби статистики України. Вибірка репрезентативна за віком, статтю і типом поселення. Вибіркова сукупність: 1000 респондентів</w:t>
      </w:r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>. Метод опитування: CATI (</w:t>
      </w:r>
      <w:proofErr w:type="spellStart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>Computer</w:t>
      </w:r>
      <w:proofErr w:type="spellEnd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>Assisted</w:t>
      </w:r>
      <w:proofErr w:type="spellEnd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>Telephone</w:t>
      </w:r>
      <w:proofErr w:type="spellEnd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>Interviews</w:t>
      </w:r>
      <w:proofErr w:type="spellEnd"/>
      <w:r w:rsidRPr="001D21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телефонні інтерв'ю з використанням комп'ютера). Помилка репрезентативності дослідження з довірчою імовірністю 0,95: не більше 3.1%. Терміни проведення: 6-7 серпня 2022 р.</w:t>
      </w:r>
    </w:p>
  </w:footnote>
  <w:footnote w:id="5">
    <w:p w:rsidR="00CB35E0" w:rsidRDefault="00CB35E0" w:rsidP="00CB35E0">
      <w:pPr>
        <w:pStyle w:val="a6"/>
      </w:pPr>
      <w:r w:rsidRPr="001D2166">
        <w:rPr>
          <w:rStyle w:val="a8"/>
          <w:rFonts w:ascii="Times New Roman" w:hAnsi="Times New Roman" w:cs="Times New Roman"/>
        </w:rPr>
        <w:footnoteRef/>
      </w:r>
      <w:r w:rsidRPr="001D2166">
        <w:rPr>
          <w:rFonts w:ascii="Times New Roman" w:hAnsi="Times New Roman" w:cs="Times New Roman"/>
        </w:rPr>
        <w:t xml:space="preserve"> Режим доступу: https://www.epravda.com.ua/publications/2022/10/22/692937/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20B9E"/>
    <w:multiLevelType w:val="hybridMultilevel"/>
    <w:tmpl w:val="6AD4A2B0"/>
    <w:lvl w:ilvl="0" w:tplc="B6E0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D9"/>
    <w:rsid w:val="000517D3"/>
    <w:rsid w:val="000A3105"/>
    <w:rsid w:val="000A4F46"/>
    <w:rsid w:val="00124AD9"/>
    <w:rsid w:val="001B66CF"/>
    <w:rsid w:val="001D776D"/>
    <w:rsid w:val="0026308C"/>
    <w:rsid w:val="00286702"/>
    <w:rsid w:val="00296736"/>
    <w:rsid w:val="002F4AEB"/>
    <w:rsid w:val="002F5163"/>
    <w:rsid w:val="00330B39"/>
    <w:rsid w:val="00340CEC"/>
    <w:rsid w:val="003609C3"/>
    <w:rsid w:val="003D684A"/>
    <w:rsid w:val="003F2CCC"/>
    <w:rsid w:val="00447DE0"/>
    <w:rsid w:val="00493067"/>
    <w:rsid w:val="004C74A2"/>
    <w:rsid w:val="004E271D"/>
    <w:rsid w:val="00534768"/>
    <w:rsid w:val="005C07A2"/>
    <w:rsid w:val="005C3642"/>
    <w:rsid w:val="005E770F"/>
    <w:rsid w:val="0064714F"/>
    <w:rsid w:val="00651C49"/>
    <w:rsid w:val="006E65CF"/>
    <w:rsid w:val="00727DCB"/>
    <w:rsid w:val="00802886"/>
    <w:rsid w:val="008165C0"/>
    <w:rsid w:val="00882BD1"/>
    <w:rsid w:val="00884537"/>
    <w:rsid w:val="008C4897"/>
    <w:rsid w:val="0093419A"/>
    <w:rsid w:val="00984518"/>
    <w:rsid w:val="00A95602"/>
    <w:rsid w:val="00BA2EE1"/>
    <w:rsid w:val="00BA32DF"/>
    <w:rsid w:val="00C25E71"/>
    <w:rsid w:val="00C3517D"/>
    <w:rsid w:val="00C435D5"/>
    <w:rsid w:val="00C84B90"/>
    <w:rsid w:val="00CB35E0"/>
    <w:rsid w:val="00CD7D45"/>
    <w:rsid w:val="00D12AC4"/>
    <w:rsid w:val="00D23FA6"/>
    <w:rsid w:val="00D41DF2"/>
    <w:rsid w:val="00E41658"/>
    <w:rsid w:val="00E64F7B"/>
    <w:rsid w:val="00EC7890"/>
    <w:rsid w:val="00F77B17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90D5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D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D77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List Paragraph"/>
    <w:basedOn w:val="a"/>
    <w:uiPriority w:val="34"/>
    <w:qFormat/>
    <w:rsid w:val="001D776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footnote text"/>
    <w:basedOn w:val="a"/>
    <w:link w:val="a7"/>
    <w:uiPriority w:val="99"/>
    <w:semiHidden/>
    <w:unhideWhenUsed/>
    <w:rsid w:val="00CB35E0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uiPriority w:val="99"/>
    <w:semiHidden/>
    <w:rsid w:val="00CB35E0"/>
    <w:rPr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CB3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Сарницька Марина Валеріївна</cp:lastModifiedBy>
  <cp:revision>3</cp:revision>
  <cp:lastPrinted>2022-11-09T13:25:00Z</cp:lastPrinted>
  <dcterms:created xsi:type="dcterms:W3CDTF">2022-11-09T13:22:00Z</dcterms:created>
  <dcterms:modified xsi:type="dcterms:W3CDTF">2022-11-09T13:26:00Z</dcterms:modified>
</cp:coreProperties>
</file>