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43" w:rsidRDefault="00042F43" w:rsidP="00042F43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885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43" w:rsidRDefault="00042F43" w:rsidP="00042F43">
      <w:pPr>
        <w:jc w:val="center"/>
        <w:rPr>
          <w:lang w:val="uk-UA"/>
        </w:rPr>
      </w:pPr>
      <w:r>
        <w:rPr>
          <w:b/>
          <w:spacing w:val="18"/>
          <w:w w:val="66"/>
          <w:sz w:val="72"/>
          <w:szCs w:val="72"/>
          <w:lang w:val="uk-UA"/>
        </w:rPr>
        <w:t>КИЇВСЬКА МІСЬ</w:t>
      </w:r>
      <w:r>
        <w:rPr>
          <w:b/>
          <w:spacing w:val="18"/>
          <w:w w:val="66"/>
          <w:sz w:val="72"/>
          <w:lang w:val="uk-UA"/>
        </w:rPr>
        <w:t>КА РАДА</w:t>
      </w:r>
    </w:p>
    <w:p w:rsidR="00042F43" w:rsidRDefault="00042F43" w:rsidP="00042F43">
      <w:pPr>
        <w:pStyle w:val="2"/>
        <w:pBdr>
          <w:bottom w:val="thickThinSmallGap" w:sz="24" w:space="2" w:color="00000A"/>
        </w:pBdr>
        <w:spacing w:before="0"/>
        <w:jc w:val="center"/>
        <w:rPr>
          <w:rFonts w:eastAsia="Calibri"/>
          <w:lang w:val="uk-UA"/>
        </w:rPr>
      </w:pPr>
      <w:r>
        <w:rPr>
          <w:rFonts w:ascii="Times New Roman" w:eastAsia="Calibri" w:hAnsi="Times New Roman"/>
          <w:b w:val="0"/>
          <w:i w:val="0"/>
          <w:iCs w:val="0"/>
          <w:spacing w:val="18"/>
          <w:w w:val="90"/>
          <w:lang w:val="uk-UA"/>
        </w:rPr>
        <w:t>ІІ СЕСІЯ  ІХ СКЛИКАННЯ</w:t>
      </w:r>
    </w:p>
    <w:p w:rsidR="00042F43" w:rsidRDefault="00042F43" w:rsidP="00042F43">
      <w:pPr>
        <w:tabs>
          <w:tab w:val="left" w:pos="5387"/>
        </w:tabs>
        <w:rPr>
          <w:i/>
          <w:sz w:val="20"/>
          <w:lang w:val="uk-UA"/>
        </w:rPr>
      </w:pPr>
    </w:p>
    <w:p w:rsidR="00042F43" w:rsidRDefault="00042F43" w:rsidP="00042F43">
      <w:pPr>
        <w:jc w:val="center"/>
        <w:rPr>
          <w:lang w:val="uk-UA"/>
        </w:rPr>
      </w:pPr>
      <w:r>
        <w:rPr>
          <w:sz w:val="52"/>
          <w:szCs w:val="52"/>
          <w:lang w:val="uk-UA"/>
        </w:rPr>
        <w:t>РІШЕННЯ</w:t>
      </w:r>
    </w:p>
    <w:p w:rsidR="00042F43" w:rsidRDefault="00042F43" w:rsidP="00042F43">
      <w:pPr>
        <w:pStyle w:val="a3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042F43" w:rsidRDefault="00042F43" w:rsidP="00042F43">
      <w:pPr>
        <w:pStyle w:val="a3"/>
        <w:spacing w:before="0" w:after="0"/>
        <w:rPr>
          <w:lang w:val="uk-UA"/>
        </w:rPr>
      </w:pPr>
      <w:r>
        <w:rPr>
          <w:bCs/>
          <w:sz w:val="28"/>
          <w:szCs w:val="28"/>
          <w:lang w:val="uk-UA"/>
        </w:rPr>
        <w:t>______________ № _________</w:t>
      </w:r>
    </w:p>
    <w:p w:rsidR="00042F43" w:rsidRDefault="00042F43" w:rsidP="00042F43">
      <w:pPr>
        <w:pStyle w:val="a3"/>
        <w:spacing w:before="0" w:after="0"/>
        <w:rPr>
          <w:lang w:val="uk-UA"/>
        </w:rPr>
      </w:pPr>
    </w:p>
    <w:p w:rsidR="00042F43" w:rsidRDefault="00042F43" w:rsidP="00042F43">
      <w:pPr>
        <w:pStyle w:val="a3"/>
        <w:spacing w:before="0" w:after="0"/>
        <w:jc w:val="right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</w:p>
    <w:tbl>
      <w:tblPr>
        <w:tblW w:w="9522" w:type="dxa"/>
        <w:tblInd w:w="1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2"/>
        <w:gridCol w:w="3960"/>
      </w:tblGrid>
      <w:tr w:rsidR="00042F43" w:rsidTr="00042F43">
        <w:tc>
          <w:tcPr>
            <w:tcW w:w="5561" w:type="dxa"/>
            <w:hideMark/>
          </w:tcPr>
          <w:p w:rsidR="00042F43" w:rsidRDefault="00042F43">
            <w:pPr>
              <w:pStyle w:val="a5"/>
              <w:spacing w:after="160"/>
              <w:jc w:val="both"/>
              <w:rPr>
                <w:b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Про внесення зміни до пункту 3 Порядку використання коштів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      </w:r>
          </w:p>
        </w:tc>
        <w:tc>
          <w:tcPr>
            <w:tcW w:w="3960" w:type="dxa"/>
            <w:hideMark/>
          </w:tcPr>
          <w:p w:rsidR="00042F43" w:rsidRDefault="00042F43">
            <w:pPr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</w:tc>
      </w:tr>
    </w:tbl>
    <w:p w:rsidR="00042F43" w:rsidRDefault="00042F43" w:rsidP="00042F43">
      <w:pPr>
        <w:jc w:val="both"/>
        <w:rPr>
          <w:color w:val="000000"/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lang w:val="uk-UA"/>
        </w:rPr>
      </w:pPr>
      <w:r>
        <w:rPr>
          <w:rStyle w:val="1"/>
          <w:sz w:val="28"/>
          <w:szCs w:val="28"/>
          <w:lang w:val="uk-UA"/>
        </w:rPr>
        <w:tab/>
        <w:t>Відповідно до Закону України «Про місцеве самоврядування в Україні», Київська міська рада</w:t>
      </w:r>
    </w:p>
    <w:p w:rsidR="00042F43" w:rsidRDefault="00042F43" w:rsidP="00042F43">
      <w:pPr>
        <w:ind w:firstLine="851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42F43" w:rsidRDefault="00042F43" w:rsidP="00042F43">
      <w:pPr>
        <w:jc w:val="both"/>
        <w:rPr>
          <w:b/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зміну до пункту 3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затвердженого рішенням Київської міської ради від 30 березня 2022 року № 4550/4591, доповнивши його після абзацу шостого новим абзацом такого змісту: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«-заходи у сфері освіти;».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зв’язку з цим абзаци сьомий і восьмий вважати відповідно абзацами восьмим і дев’ятим.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Офіційно оприлюднити це рішення у порядку, встановленому законодавством України.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042F43" w:rsidRDefault="00042F43" w:rsidP="00042F43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042F43" w:rsidRDefault="00042F43" w:rsidP="00042F43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Київський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Віталій КЛИЧКО</w:t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color w:val="000000"/>
          <w:sz w:val="28"/>
          <w:szCs w:val="28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814"/>
        <w:gridCol w:w="3283"/>
      </w:tblGrid>
      <w:tr w:rsidR="00042F43" w:rsidTr="00042F43">
        <w:tc>
          <w:tcPr>
            <w:tcW w:w="4248" w:type="dxa"/>
          </w:tcPr>
          <w:p w:rsidR="00042F43" w:rsidRDefault="00042F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ПОДАННЯ:</w:t>
            </w:r>
          </w:p>
          <w:p w:rsidR="00042F43" w:rsidRDefault="00042F43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42F43" w:rsidTr="00042F43">
        <w:tc>
          <w:tcPr>
            <w:tcW w:w="4248" w:type="dxa"/>
            <w:hideMark/>
          </w:tcPr>
          <w:p w:rsidR="00A72470" w:rsidRDefault="00042F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Депутатка </w:t>
            </w:r>
            <w:proofErr w:type="spellStart"/>
            <w:r>
              <w:rPr>
                <w:color w:val="000000"/>
                <w:sz w:val="28"/>
                <w:szCs w:val="28"/>
              </w:rPr>
              <w:t>Київської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</w:t>
            </w:r>
          </w:p>
          <w:p w:rsidR="00A72470" w:rsidRDefault="00A7247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42F43" w:rsidRDefault="00C54C3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</w:t>
            </w:r>
            <w:r w:rsidR="00A72470">
              <w:rPr>
                <w:color w:val="000000"/>
                <w:sz w:val="28"/>
                <w:szCs w:val="28"/>
                <w:lang w:val="uk-UA"/>
              </w:rPr>
              <w:t xml:space="preserve"> Київської міської ради </w:t>
            </w:r>
            <w:r w:rsidR="00042F43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Ганна СВИРИДЕНКО</w:t>
            </w:r>
          </w:p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:rsidR="00A72470" w:rsidRDefault="00A72470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Володимир СЛОНЧАК</w:t>
            </w:r>
          </w:p>
          <w:p w:rsidR="00A72470" w:rsidRDefault="00A72470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:rsidR="00A72470" w:rsidRDefault="00A72470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42F43" w:rsidTr="00042F43">
        <w:tc>
          <w:tcPr>
            <w:tcW w:w="4248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ПОГОДЖЕННЯ:</w:t>
            </w:r>
          </w:p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42F43" w:rsidTr="00042F43">
        <w:tc>
          <w:tcPr>
            <w:tcW w:w="4248" w:type="dxa"/>
          </w:tcPr>
          <w:p w:rsidR="00042F43" w:rsidRDefault="00042F4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Голова постійної комісії Київської міської ради з питань бюджету та соціально-економічного розвитку</w:t>
            </w:r>
          </w:p>
          <w:p w:rsidR="00042F43" w:rsidRDefault="00042F4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hideMark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Андрій  ВІТРЕНКО</w:t>
            </w:r>
          </w:p>
        </w:tc>
      </w:tr>
      <w:tr w:rsidR="00042F43" w:rsidTr="00042F43">
        <w:tc>
          <w:tcPr>
            <w:tcW w:w="4248" w:type="dxa"/>
          </w:tcPr>
          <w:p w:rsidR="00042F43" w:rsidRDefault="00042F4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Секретар постійної комісії Київської міської ради з питань бюджету та соціально-економічного розвитку</w:t>
            </w:r>
          </w:p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hideMark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Владислав АНДРОНОВ</w:t>
            </w:r>
          </w:p>
        </w:tc>
      </w:tr>
      <w:tr w:rsidR="00042F43" w:rsidTr="00042F43">
        <w:tc>
          <w:tcPr>
            <w:tcW w:w="4248" w:type="dxa"/>
            <w:hideMark/>
          </w:tcPr>
          <w:p w:rsidR="00042F43" w:rsidRDefault="00042F4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1814" w:type="dxa"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hideMark/>
          </w:tcPr>
          <w:p w:rsidR="00042F43" w:rsidRDefault="00042F43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tabs>
          <w:tab w:val="left" w:pos="4980"/>
        </w:tabs>
        <w:ind w:right="-285"/>
        <w:jc w:val="both"/>
        <w:rPr>
          <w:color w:val="000000"/>
          <w:sz w:val="28"/>
          <w:szCs w:val="28"/>
        </w:rPr>
      </w:pPr>
    </w:p>
    <w:p w:rsidR="00042F43" w:rsidRDefault="00042F43" w:rsidP="00042F43">
      <w:pPr>
        <w:tabs>
          <w:tab w:val="left" w:pos="4980"/>
        </w:tabs>
        <w:ind w:right="-285"/>
        <w:jc w:val="both"/>
        <w:rPr>
          <w:color w:val="000000"/>
          <w:sz w:val="28"/>
          <w:szCs w:val="28"/>
        </w:rPr>
      </w:pPr>
    </w:p>
    <w:p w:rsidR="00042F43" w:rsidRDefault="00042F43" w:rsidP="00042F43">
      <w:pPr>
        <w:tabs>
          <w:tab w:val="left" w:pos="4980"/>
        </w:tabs>
        <w:ind w:right="-285"/>
        <w:jc w:val="both"/>
        <w:rPr>
          <w:color w:val="000000"/>
          <w:sz w:val="28"/>
          <w:szCs w:val="28"/>
        </w:rPr>
      </w:pPr>
    </w:p>
    <w:p w:rsidR="00042F43" w:rsidRDefault="00042F43" w:rsidP="00042F43">
      <w:pPr>
        <w:tabs>
          <w:tab w:val="left" w:pos="4980"/>
        </w:tabs>
        <w:ind w:right="-285"/>
        <w:jc w:val="both"/>
        <w:rPr>
          <w:color w:val="000000"/>
          <w:sz w:val="28"/>
          <w:szCs w:val="28"/>
        </w:rPr>
      </w:pPr>
    </w:p>
    <w:p w:rsidR="00042F43" w:rsidRDefault="00042F43" w:rsidP="00042F43">
      <w:pPr>
        <w:tabs>
          <w:tab w:val="left" w:pos="4980"/>
        </w:tabs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A72470" w:rsidRDefault="00A72470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042F43" w:rsidRDefault="00042F43" w:rsidP="00042F43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</w:t>
      </w:r>
    </w:p>
    <w:p w:rsidR="00042F43" w:rsidRDefault="00042F43" w:rsidP="00042F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внесення зміни до пункту 3 Порядку використання коштів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</w:r>
      <w:r>
        <w:rPr>
          <w:sz w:val="28"/>
          <w:szCs w:val="28"/>
          <w:lang w:val="uk-UA"/>
        </w:rPr>
        <w:t>»</w:t>
      </w:r>
    </w:p>
    <w:p w:rsidR="00042F43" w:rsidRDefault="00042F43" w:rsidP="00042F43">
      <w:pPr>
        <w:jc w:val="center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необхідності прийняття рішення</w:t>
      </w:r>
    </w:p>
    <w:p w:rsidR="00042F43" w:rsidRP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  <w:r w:rsidRPr="00042F43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 до повноважень органів місцевого самоврядування в Україні належить розгляд прогнозу місцевого бюджету, затвердження місцевого бюджету, внесення змін до нього, прийняття рішень щодо передачі коштів з відповідного місцевого бюджету, здійснення в установленому порядку фінансування видатків з місцевого бюджету, </w:t>
      </w:r>
      <w:r w:rsidRPr="00042F43">
        <w:rPr>
          <w:color w:val="000000"/>
          <w:sz w:val="28"/>
          <w:szCs w:val="28"/>
          <w:shd w:val="clear" w:color="auto" w:fill="FFFFFF"/>
          <w:lang w:val="uk-UA"/>
        </w:rPr>
        <w:t>участь в організації та фінансуванні капітальних ремонтів житлових будинків, капітальних ремонтів майна, що перебуває у спільній власності співвласників багатоквартирного будинку, в межах бюджетних програм, визначених за рішенням відповідної сільської, селищної, міської ради</w:t>
      </w:r>
      <w:r w:rsidRPr="00042F43">
        <w:rPr>
          <w:sz w:val="28"/>
          <w:szCs w:val="28"/>
          <w:lang w:val="uk-UA"/>
        </w:rPr>
        <w:t xml:space="preserve">. </w:t>
      </w:r>
    </w:p>
    <w:p w:rsidR="00042F43" w:rsidRPr="001A20AB" w:rsidRDefault="00042F43" w:rsidP="001A20AB">
      <w:pPr>
        <w:pStyle w:val="a4"/>
        <w:ind w:left="0" w:firstLine="708"/>
        <w:jc w:val="both"/>
        <w:rPr>
          <w:color w:val="auto"/>
          <w:sz w:val="28"/>
          <w:szCs w:val="28"/>
          <w:lang w:val="uk-UA"/>
        </w:rPr>
      </w:pPr>
      <w:r w:rsidRPr="001A20AB">
        <w:rPr>
          <w:color w:val="auto"/>
          <w:sz w:val="28"/>
          <w:szCs w:val="28"/>
          <w:lang w:val="uk-UA"/>
        </w:rPr>
        <w:t xml:space="preserve">Рішенням Київської міської ради від 30 березня 2022 року № 4550/4591 затверджено Порядок використання коштів </w:t>
      </w:r>
      <w:r w:rsidRPr="001A20AB">
        <w:rPr>
          <w:color w:val="auto"/>
          <w:sz w:val="28"/>
          <w:szCs w:val="28"/>
          <w:shd w:val="clear" w:color="auto" w:fill="FFFFFF"/>
          <w:lang w:val="uk-UA"/>
        </w:rPr>
        <w:t>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2102-IX.</w:t>
      </w:r>
    </w:p>
    <w:p w:rsidR="001A20AB" w:rsidRDefault="00042F43" w:rsidP="001A20AB">
      <w:pPr>
        <w:pStyle w:val="a4"/>
        <w:ind w:left="0" w:firstLine="708"/>
        <w:jc w:val="both"/>
        <w:rPr>
          <w:color w:val="auto"/>
          <w:sz w:val="28"/>
          <w:szCs w:val="28"/>
          <w:lang w:val="uk-UA"/>
        </w:rPr>
      </w:pPr>
      <w:r w:rsidRPr="001904F4">
        <w:rPr>
          <w:color w:val="auto"/>
          <w:sz w:val="28"/>
          <w:szCs w:val="28"/>
          <w:lang w:val="uk-UA"/>
        </w:rPr>
        <w:t xml:space="preserve">Пунктом 3 цього Порядку визначені </w:t>
      </w:r>
      <w:r w:rsidRPr="001904F4">
        <w:rPr>
          <w:color w:val="auto"/>
          <w:sz w:val="28"/>
          <w:szCs w:val="28"/>
          <w:shd w:val="clear" w:color="auto" w:fill="FFFFFF"/>
          <w:lang w:val="uk-UA"/>
        </w:rPr>
        <w:t xml:space="preserve">першочергові напрями використання коштів Програми, до переліку яких не увійшли </w:t>
      </w:r>
      <w:r w:rsidRPr="001904F4">
        <w:rPr>
          <w:color w:val="auto"/>
          <w:sz w:val="28"/>
          <w:szCs w:val="28"/>
          <w:lang w:val="uk-UA"/>
        </w:rPr>
        <w:t xml:space="preserve">заходи у сфері </w:t>
      </w:r>
      <w:r w:rsidR="001A20AB" w:rsidRPr="001904F4">
        <w:rPr>
          <w:color w:val="auto"/>
          <w:sz w:val="28"/>
          <w:szCs w:val="28"/>
          <w:lang w:val="uk-UA"/>
        </w:rPr>
        <w:t>освіти</w:t>
      </w:r>
      <w:r w:rsidRPr="001904F4">
        <w:rPr>
          <w:color w:val="auto"/>
          <w:sz w:val="28"/>
          <w:szCs w:val="28"/>
          <w:lang w:val="uk-UA"/>
        </w:rPr>
        <w:t>.</w:t>
      </w:r>
    </w:p>
    <w:p w:rsidR="00042F43" w:rsidRPr="00B72EB7" w:rsidRDefault="00B72EB7" w:rsidP="00B72EB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Комунальні </w:t>
      </w:r>
      <w:r w:rsidRPr="001904F4">
        <w:rPr>
          <w:color w:val="auto"/>
          <w:sz w:val="28"/>
          <w:szCs w:val="28"/>
          <w:lang w:val="uk-UA"/>
        </w:rPr>
        <w:t>заклади дошкільної та загальної середньої освіти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розпочали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до </w:t>
      </w:r>
      <w:hyperlink r:id="rId6">
        <w:r>
          <w:rPr>
            <w:color w:val="000000"/>
            <w:sz w:val="28"/>
            <w:szCs w:val="28"/>
          </w:rPr>
          <w:t xml:space="preserve">нового </w:t>
        </w:r>
        <w:proofErr w:type="spellStart"/>
        <w:r>
          <w:rPr>
            <w:color w:val="000000"/>
            <w:sz w:val="28"/>
            <w:szCs w:val="28"/>
          </w:rPr>
          <w:t>навчального</w:t>
        </w:r>
        <w:proofErr w:type="spellEnd"/>
        <w:r>
          <w:rPr>
            <w:color w:val="000000"/>
            <w:sz w:val="28"/>
            <w:szCs w:val="28"/>
          </w:rPr>
          <w:t xml:space="preserve"> року</w:t>
        </w:r>
      </w:hyperlink>
      <w:r>
        <w:rPr>
          <w:color w:val="000000"/>
          <w:sz w:val="28"/>
          <w:szCs w:val="28"/>
        </w:rPr>
        <w:t xml:space="preserve">, і </w:t>
      </w:r>
      <w:proofErr w:type="spellStart"/>
      <w:r>
        <w:rPr>
          <w:color w:val="000000"/>
          <w:sz w:val="28"/>
          <w:szCs w:val="28"/>
        </w:rPr>
        <w:t>місто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стандартно, 1 </w:t>
      </w:r>
      <w:proofErr w:type="spellStart"/>
      <w:r>
        <w:rPr>
          <w:color w:val="000000"/>
          <w:sz w:val="28"/>
          <w:szCs w:val="28"/>
        </w:rPr>
        <w:t>вересня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 офлайн, </w:t>
      </w: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Пріоритетом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максимально </w:t>
      </w:r>
      <w:proofErr w:type="spellStart"/>
      <w:r>
        <w:rPr>
          <w:color w:val="000000"/>
          <w:sz w:val="28"/>
          <w:szCs w:val="28"/>
        </w:rPr>
        <w:t>можливої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кожного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насамперед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є </w:t>
      </w:r>
      <w:proofErr w:type="spellStart"/>
      <w:r>
        <w:rPr>
          <w:color w:val="000000"/>
          <w:sz w:val="28"/>
          <w:szCs w:val="28"/>
        </w:rPr>
        <w:t>безумовним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абсолютним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пріоритетом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. У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військового</w:t>
      </w:r>
      <w:proofErr w:type="spellEnd"/>
      <w:r>
        <w:rPr>
          <w:color w:val="000000"/>
          <w:sz w:val="28"/>
          <w:szCs w:val="28"/>
        </w:rPr>
        <w:t xml:space="preserve"> нападу,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зберегти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евакуювати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безпечне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– до </w:t>
      </w:r>
      <w:proofErr w:type="spellStart"/>
      <w:r>
        <w:rPr>
          <w:color w:val="000000"/>
          <w:sz w:val="28"/>
          <w:szCs w:val="28"/>
        </w:rPr>
        <w:t>найближчого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бомбосховища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укриття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назовні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З огляду на зазначене, </w:t>
      </w:r>
      <w:r w:rsidR="001904F4">
        <w:rPr>
          <w:color w:val="auto"/>
          <w:sz w:val="28"/>
          <w:szCs w:val="28"/>
          <w:lang w:val="uk-UA"/>
        </w:rPr>
        <w:t xml:space="preserve">комунальні </w:t>
      </w:r>
      <w:r w:rsidR="001904F4" w:rsidRPr="001904F4">
        <w:rPr>
          <w:color w:val="auto"/>
          <w:sz w:val="28"/>
          <w:szCs w:val="28"/>
          <w:lang w:val="uk-UA"/>
        </w:rPr>
        <w:t xml:space="preserve">заклади дошкільної та загальної середньої освіти </w:t>
      </w:r>
      <w:r w:rsidR="001A20AB" w:rsidRPr="001904F4">
        <w:rPr>
          <w:color w:val="auto"/>
          <w:sz w:val="28"/>
          <w:szCs w:val="28"/>
          <w:lang w:val="uk-UA"/>
        </w:rPr>
        <w:t xml:space="preserve">потребують </w:t>
      </w:r>
      <w:r w:rsidR="00042F43" w:rsidRPr="001904F4">
        <w:rPr>
          <w:color w:val="auto"/>
          <w:sz w:val="28"/>
          <w:szCs w:val="28"/>
          <w:lang w:val="uk-UA"/>
        </w:rPr>
        <w:t>фінансування</w:t>
      </w:r>
      <w:r w:rsidR="001904F4" w:rsidRPr="001904F4">
        <w:rPr>
          <w:color w:val="auto"/>
          <w:sz w:val="28"/>
          <w:szCs w:val="28"/>
          <w:lang w:val="uk-UA"/>
        </w:rPr>
        <w:t xml:space="preserve"> та дообладнання споруд подвійного призначення </w:t>
      </w:r>
      <w:r w:rsidR="001904F4">
        <w:rPr>
          <w:color w:val="auto"/>
          <w:sz w:val="28"/>
          <w:szCs w:val="28"/>
          <w:lang w:val="uk-UA"/>
        </w:rPr>
        <w:t>і</w:t>
      </w:r>
      <w:r w:rsidR="001904F4" w:rsidRPr="001904F4">
        <w:rPr>
          <w:color w:val="auto"/>
          <w:sz w:val="28"/>
          <w:szCs w:val="28"/>
          <w:lang w:val="uk-UA"/>
        </w:rPr>
        <w:t xml:space="preserve"> найпростіших </w:t>
      </w:r>
      <w:proofErr w:type="spellStart"/>
      <w:r w:rsidR="001904F4" w:rsidRPr="001904F4">
        <w:rPr>
          <w:color w:val="auto"/>
          <w:sz w:val="28"/>
          <w:szCs w:val="28"/>
          <w:lang w:val="uk-UA"/>
        </w:rPr>
        <w:lastRenderedPageBreak/>
        <w:t>укриттів</w:t>
      </w:r>
      <w:proofErr w:type="spellEnd"/>
      <w:r w:rsidR="00042F43" w:rsidRPr="001904F4">
        <w:rPr>
          <w:color w:val="auto"/>
          <w:sz w:val="28"/>
          <w:szCs w:val="28"/>
          <w:lang w:val="uk-UA"/>
        </w:rPr>
        <w:t xml:space="preserve">. Прийняття зазначеного </w:t>
      </w:r>
      <w:proofErr w:type="spellStart"/>
      <w:r w:rsidR="00042F43" w:rsidRPr="001904F4">
        <w:rPr>
          <w:color w:val="auto"/>
          <w:sz w:val="28"/>
          <w:szCs w:val="28"/>
          <w:lang w:val="uk-UA"/>
        </w:rPr>
        <w:t>проєкту</w:t>
      </w:r>
      <w:proofErr w:type="spellEnd"/>
      <w:r w:rsidR="00042F43" w:rsidRPr="001904F4">
        <w:rPr>
          <w:color w:val="auto"/>
          <w:sz w:val="28"/>
          <w:szCs w:val="28"/>
          <w:lang w:val="uk-UA"/>
        </w:rPr>
        <w:t xml:space="preserve"> рішення </w:t>
      </w:r>
      <w:proofErr w:type="spellStart"/>
      <w:r w:rsidR="00042F43" w:rsidRPr="001904F4">
        <w:rPr>
          <w:color w:val="auto"/>
          <w:sz w:val="28"/>
          <w:szCs w:val="28"/>
          <w:lang w:val="uk-UA"/>
        </w:rPr>
        <w:t>надасть</w:t>
      </w:r>
      <w:proofErr w:type="spellEnd"/>
      <w:r w:rsidR="00042F43" w:rsidRPr="001904F4">
        <w:rPr>
          <w:color w:val="auto"/>
          <w:sz w:val="28"/>
          <w:szCs w:val="28"/>
          <w:lang w:val="uk-UA"/>
        </w:rPr>
        <w:t xml:space="preserve"> змогу здійснити фінансування </w:t>
      </w:r>
      <w:r w:rsidR="001904F4" w:rsidRPr="001904F4">
        <w:rPr>
          <w:color w:val="auto"/>
          <w:sz w:val="28"/>
          <w:szCs w:val="28"/>
          <w:lang w:val="uk-UA"/>
        </w:rPr>
        <w:t xml:space="preserve"> на </w:t>
      </w:r>
      <w:r w:rsidR="00042F43" w:rsidRPr="001904F4">
        <w:rPr>
          <w:color w:val="auto"/>
          <w:sz w:val="28"/>
          <w:szCs w:val="28"/>
          <w:lang w:val="uk-UA"/>
        </w:rPr>
        <w:t xml:space="preserve">проведення ремонтів </w:t>
      </w:r>
      <w:r w:rsidR="001904F4" w:rsidRPr="001904F4">
        <w:rPr>
          <w:color w:val="auto"/>
          <w:sz w:val="28"/>
          <w:szCs w:val="28"/>
          <w:lang w:val="uk-UA"/>
        </w:rPr>
        <w:t>у комунальних закладах дошкільної та загальної середньої освіти</w:t>
      </w:r>
      <w:r w:rsidR="00042F43" w:rsidRPr="001904F4">
        <w:rPr>
          <w:color w:val="auto"/>
          <w:sz w:val="28"/>
          <w:szCs w:val="28"/>
          <w:lang w:val="uk-UA"/>
        </w:rPr>
        <w:t xml:space="preserve"> </w:t>
      </w:r>
      <w:r w:rsidR="00DB3A90">
        <w:rPr>
          <w:color w:val="auto"/>
          <w:sz w:val="28"/>
          <w:szCs w:val="28"/>
          <w:lang w:val="uk-UA"/>
        </w:rPr>
        <w:t xml:space="preserve">для встановлення можливості їх використання як споруд подвійного призначення та найпростіших </w:t>
      </w:r>
      <w:proofErr w:type="spellStart"/>
      <w:r w:rsidR="00DB3A90">
        <w:rPr>
          <w:color w:val="auto"/>
          <w:sz w:val="28"/>
          <w:szCs w:val="28"/>
          <w:lang w:val="uk-UA"/>
        </w:rPr>
        <w:t>укриттів</w:t>
      </w:r>
      <w:proofErr w:type="spellEnd"/>
      <w:r w:rsidR="00DB3A90">
        <w:rPr>
          <w:color w:val="auto"/>
          <w:sz w:val="28"/>
          <w:szCs w:val="28"/>
          <w:lang w:val="uk-UA"/>
        </w:rPr>
        <w:t xml:space="preserve"> </w:t>
      </w:r>
      <w:r w:rsidR="00042F43" w:rsidRPr="001904F4">
        <w:rPr>
          <w:color w:val="auto"/>
          <w:sz w:val="28"/>
          <w:szCs w:val="28"/>
          <w:lang w:val="uk-UA"/>
        </w:rPr>
        <w:t>за рахунок коштів депутатського фонду, передбачених Програмою вирішення депутатами Київської міської ради соціально-економічних проблем, виконання передвиборних програм та доручень виборців на 2021 - 2025 роки.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 та завдання прийняття рішення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Ціллю та завданням прийняття даного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реалізація Київської міською радою повноважень у галузі бюджету та фінансів, здійснення фінансування придбання будівельних матеріалів, фінансування проведення поточних ремонтів та/або передача коштів іншим розпорядника</w:t>
      </w:r>
      <w:r w:rsidR="00DE4A8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для проведення поточних та/або капітальних ремонтів </w:t>
      </w:r>
      <w:r w:rsidR="001904F4" w:rsidRPr="001904F4">
        <w:rPr>
          <w:color w:val="auto"/>
          <w:sz w:val="28"/>
          <w:szCs w:val="28"/>
          <w:lang w:val="uk-UA"/>
        </w:rPr>
        <w:t>у комунальних закладах дошкільної та загальної середньої освіти</w:t>
      </w:r>
      <w:r w:rsidR="00B72EB7">
        <w:rPr>
          <w:color w:val="auto"/>
          <w:sz w:val="28"/>
          <w:szCs w:val="28"/>
          <w:lang w:val="uk-UA"/>
        </w:rPr>
        <w:t xml:space="preserve"> для встановлення можливості їх використання як споруд подвійного призначення та найпростіших </w:t>
      </w:r>
      <w:proofErr w:type="spellStart"/>
      <w:r w:rsidR="00B72EB7">
        <w:rPr>
          <w:color w:val="auto"/>
          <w:sz w:val="28"/>
          <w:szCs w:val="28"/>
          <w:lang w:val="uk-UA"/>
        </w:rPr>
        <w:t>укриттів</w:t>
      </w:r>
      <w:proofErr w:type="spellEnd"/>
      <w:r w:rsidR="00B72EB7">
        <w:rPr>
          <w:color w:val="auto"/>
          <w:sz w:val="28"/>
          <w:szCs w:val="28"/>
          <w:lang w:val="uk-UA"/>
        </w:rPr>
        <w:t>.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Повноваження Київської міської ради щодо ухвалення зазначеного рішення закріплено в Законі України «Про місцеве самоврядування в Україні».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депутата місцевої ради вносити на розгляд ради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передбачено частиною другою статті 19 Закону України «Про статус депутатів місцевих рад».</w:t>
      </w:r>
    </w:p>
    <w:p w:rsidR="00042F43" w:rsidRDefault="00042F43" w:rsidP="00042F43">
      <w:pPr>
        <w:pStyle w:val="a4"/>
        <w:ind w:left="0"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Фінансово-економічне обґрунтування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зазначеного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не потребує додаткового фінансування.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зазначеного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забезпечить покращення стану сфери </w:t>
      </w:r>
      <w:r w:rsidR="008D60BF">
        <w:rPr>
          <w:sz w:val="28"/>
          <w:szCs w:val="28"/>
          <w:lang w:val="uk-UA"/>
        </w:rPr>
        <w:t xml:space="preserve">комунальних </w:t>
      </w:r>
      <w:r>
        <w:rPr>
          <w:sz w:val="28"/>
          <w:szCs w:val="28"/>
          <w:lang w:val="uk-UA"/>
        </w:rPr>
        <w:t xml:space="preserve">закладів </w:t>
      </w:r>
      <w:r w:rsidR="00FF2A38" w:rsidRPr="001904F4">
        <w:rPr>
          <w:color w:val="auto"/>
          <w:sz w:val="28"/>
          <w:szCs w:val="28"/>
          <w:lang w:val="uk-UA"/>
        </w:rPr>
        <w:t>дошкільної та загальної середньої освіти</w:t>
      </w:r>
      <w:r w:rsidR="00FF2A38">
        <w:rPr>
          <w:color w:val="auto"/>
          <w:sz w:val="28"/>
          <w:szCs w:val="28"/>
          <w:lang w:val="uk-UA"/>
        </w:rPr>
        <w:t xml:space="preserve"> міста Києва.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pStyle w:val="a4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Суб’єкт подання та доповідач на пленарному засіданні:</w:t>
      </w:r>
    </w:p>
    <w:p w:rsidR="00042F43" w:rsidRDefault="00C54C39" w:rsidP="00042F43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Суб’єктами</w:t>
      </w:r>
      <w:r w:rsidR="00042F43">
        <w:rPr>
          <w:sz w:val="28"/>
          <w:szCs w:val="28"/>
          <w:lang w:val="uk-UA"/>
        </w:rPr>
        <w:t xml:space="preserve"> подання даного </w:t>
      </w:r>
      <w:proofErr w:type="spellStart"/>
      <w:r w:rsidR="00042F43">
        <w:rPr>
          <w:sz w:val="28"/>
          <w:szCs w:val="28"/>
          <w:lang w:val="uk-UA"/>
        </w:rPr>
        <w:t>проєкту</w:t>
      </w:r>
      <w:proofErr w:type="spellEnd"/>
      <w:r w:rsidR="00042F43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та доповідачами </w:t>
      </w:r>
      <w:r w:rsidR="00042F4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  <w:r w:rsidR="00042F43">
        <w:rPr>
          <w:sz w:val="28"/>
          <w:szCs w:val="28"/>
          <w:lang w:val="uk-UA"/>
        </w:rPr>
        <w:t xml:space="preserve"> депутатка Київської міської р</w:t>
      </w:r>
      <w:r>
        <w:rPr>
          <w:sz w:val="28"/>
          <w:szCs w:val="28"/>
          <w:lang w:val="uk-UA"/>
        </w:rPr>
        <w:t>ади Ганна СВИРИДЕНКО та депутат Київської міської ради Володимир СЛОНЧАК.</w:t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C54C39" w:rsidRDefault="00C54C39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C54C39">
      <w:pPr>
        <w:jc w:val="both"/>
        <w:rPr>
          <w:b/>
          <w:sz w:val="28"/>
          <w:szCs w:val="28"/>
          <w:lang w:val="uk-UA"/>
        </w:rPr>
      </w:pPr>
      <w:r w:rsidRPr="00C54C39">
        <w:rPr>
          <w:b/>
          <w:sz w:val="28"/>
          <w:szCs w:val="28"/>
          <w:lang w:val="uk-UA"/>
        </w:rPr>
        <w:t xml:space="preserve">Депутатка </w:t>
      </w:r>
      <w:r w:rsidRPr="00C54C39">
        <w:rPr>
          <w:b/>
          <w:sz w:val="28"/>
          <w:szCs w:val="28"/>
          <w:lang w:val="uk-UA"/>
        </w:rPr>
        <w:tab/>
      </w:r>
      <w:r w:rsidR="00C54C39" w:rsidRPr="00C54C39">
        <w:rPr>
          <w:b/>
          <w:sz w:val="28"/>
          <w:szCs w:val="28"/>
          <w:lang w:val="uk-UA"/>
        </w:rPr>
        <w:t xml:space="preserve">Київської міської ради       </w:t>
      </w:r>
      <w:r w:rsidRPr="00C54C39">
        <w:rPr>
          <w:b/>
          <w:sz w:val="28"/>
          <w:szCs w:val="28"/>
          <w:lang w:val="uk-UA"/>
        </w:rPr>
        <w:tab/>
      </w:r>
      <w:r w:rsidRPr="00C54C39">
        <w:rPr>
          <w:b/>
          <w:sz w:val="28"/>
          <w:szCs w:val="28"/>
          <w:lang w:val="uk-UA"/>
        </w:rPr>
        <w:tab/>
      </w:r>
      <w:r w:rsidRPr="00C54C39">
        <w:rPr>
          <w:b/>
          <w:sz w:val="28"/>
          <w:szCs w:val="28"/>
          <w:lang w:val="uk-UA"/>
        </w:rPr>
        <w:tab/>
        <w:t>Ганна СВИРИДЕНКО</w:t>
      </w:r>
    </w:p>
    <w:p w:rsidR="00C54C39" w:rsidRPr="00C54C39" w:rsidRDefault="00C54C39" w:rsidP="00C54C39">
      <w:pPr>
        <w:jc w:val="both"/>
        <w:rPr>
          <w:b/>
          <w:sz w:val="28"/>
          <w:szCs w:val="28"/>
          <w:lang w:val="uk-UA"/>
        </w:rPr>
      </w:pPr>
    </w:p>
    <w:p w:rsidR="00042F43" w:rsidRPr="00C54C39" w:rsidRDefault="00042F43" w:rsidP="00042F43">
      <w:pPr>
        <w:jc w:val="both"/>
        <w:rPr>
          <w:b/>
          <w:sz w:val="28"/>
          <w:szCs w:val="28"/>
          <w:lang w:val="uk-UA"/>
        </w:rPr>
      </w:pPr>
    </w:p>
    <w:p w:rsidR="00042F43" w:rsidRPr="00C54C39" w:rsidRDefault="00C54C39" w:rsidP="00C54C39">
      <w:pPr>
        <w:jc w:val="both"/>
        <w:rPr>
          <w:b/>
          <w:sz w:val="28"/>
          <w:szCs w:val="28"/>
          <w:lang w:val="uk-UA"/>
        </w:rPr>
      </w:pPr>
      <w:r w:rsidRPr="00C54C39">
        <w:rPr>
          <w:b/>
          <w:sz w:val="28"/>
          <w:szCs w:val="28"/>
          <w:lang w:val="uk-UA"/>
        </w:rPr>
        <w:t xml:space="preserve">Депутат Київської міської ради                               </w:t>
      </w:r>
      <w:r>
        <w:rPr>
          <w:b/>
          <w:sz w:val="28"/>
          <w:szCs w:val="28"/>
          <w:lang w:val="uk-UA"/>
        </w:rPr>
        <w:t>Володимир СЛОНЧАК</w:t>
      </w:r>
    </w:p>
    <w:p w:rsidR="00042F43" w:rsidRPr="00C54C39" w:rsidRDefault="00042F43" w:rsidP="00042F43">
      <w:pPr>
        <w:ind w:firstLine="708"/>
        <w:jc w:val="both"/>
        <w:rPr>
          <w:b/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C54C39" w:rsidRDefault="00C54C39" w:rsidP="00042F43">
      <w:pPr>
        <w:ind w:firstLine="708"/>
        <w:jc w:val="both"/>
        <w:rPr>
          <w:sz w:val="28"/>
          <w:szCs w:val="28"/>
          <w:lang w:val="uk-UA"/>
        </w:rPr>
      </w:pPr>
    </w:p>
    <w:p w:rsidR="00C54C39" w:rsidRDefault="00C54C39" w:rsidP="00042F43">
      <w:pPr>
        <w:ind w:firstLine="708"/>
        <w:jc w:val="both"/>
        <w:rPr>
          <w:sz w:val="28"/>
          <w:szCs w:val="28"/>
          <w:lang w:val="uk-UA"/>
        </w:rPr>
      </w:pPr>
    </w:p>
    <w:p w:rsidR="00C54C39" w:rsidRDefault="00C54C39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suppressAutoHyphens w:val="0"/>
        <w:rPr>
          <w:b/>
          <w:bCs/>
          <w:sz w:val="28"/>
          <w:szCs w:val="28"/>
        </w:rPr>
        <w:sectPr w:rsidR="00042F43">
          <w:pgSz w:w="11906" w:h="16838"/>
          <w:pgMar w:top="1134" w:right="567" w:bottom="993" w:left="1701" w:header="720" w:footer="720" w:gutter="0"/>
          <w:cols w:space="720"/>
          <w:formProt w:val="0"/>
        </w:sectPr>
      </w:pPr>
    </w:p>
    <w:p w:rsidR="00042F43" w:rsidRDefault="00042F43" w:rsidP="00042F4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Порівняльна таблиця </w:t>
      </w:r>
    </w:p>
    <w:p w:rsidR="00042F43" w:rsidRDefault="00042F43" w:rsidP="00042F43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DE4A8C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 xml:space="preserve">Про внесення зміни до пункту 3 Порядку використання коштів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</w:r>
      <w:r>
        <w:rPr>
          <w:rFonts w:ascii="Calibri" w:hAnsi="Calibri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>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</w:r>
      <w:r w:rsidR="00DE4A8C">
        <w:rPr>
          <w:color w:val="000000"/>
          <w:sz w:val="28"/>
          <w:szCs w:val="28"/>
          <w:lang w:val="uk-UA"/>
        </w:rPr>
        <w:t>»</w:t>
      </w:r>
    </w:p>
    <w:p w:rsidR="00042F43" w:rsidRDefault="00042F43" w:rsidP="00042F43">
      <w:pPr>
        <w:jc w:val="center"/>
        <w:rPr>
          <w:lang w:val="uk-U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6"/>
        <w:gridCol w:w="7284"/>
      </w:tblGrid>
      <w:tr w:rsidR="00042F43" w:rsidTr="00042F43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43" w:rsidRDefault="00042F43">
            <w:pPr>
              <w:pStyle w:val="a5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Чинна редакція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пункту 3 Порядку використання коштів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Програми вирішення депутатами Київської міської ради соціально-економічних проблем, виконання передвиборних програм та доручень виборців на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43" w:rsidRDefault="00042F43">
            <w:pPr>
              <w:pStyle w:val="a5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Запропонована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рішення редакція </w:t>
            </w:r>
          </w:p>
        </w:tc>
      </w:tr>
      <w:tr w:rsidR="00042F43" w:rsidTr="00042F43">
        <w:tc>
          <w:tcPr>
            <w:tcW w:w="7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F43" w:rsidRDefault="00042F43">
            <w:pPr>
              <w:pStyle w:val="a5"/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Пункт 3</w:t>
            </w:r>
          </w:p>
          <w:p w:rsidR="00042F43" w:rsidRDefault="00042F43">
            <w:pPr>
              <w:pStyle w:val="a5"/>
              <w:ind w:firstLine="709"/>
              <w:jc w:val="both"/>
              <w:rPr>
                <w:rFonts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приймалень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депутатів Київської міської ради й оперативне вирішення проблем жителів міста Києва в умовах воєнного стану, а саме: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50"/>
            <w:bookmarkEnd w:id="0"/>
            <w:r>
              <w:rPr>
                <w:color w:val="000000"/>
                <w:sz w:val="28"/>
                <w:szCs w:val="28"/>
                <w:lang w:val="uk-UA"/>
              </w:rPr>
              <w:t>- діяльність у сфері державного управління;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заходи у сфері соціального захисту та соціального забезпечення;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програми та заходи у сфері цивільного захисту населення;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 програми та заходи у сфері національного спротиву та оборони; 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заходи у сфері житлово-комунального господарства;</w:t>
            </w:r>
          </w:p>
          <w:p w:rsidR="004A411A" w:rsidRDefault="004A411A" w:rsidP="004A411A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інші заходи, пов'язані із запровадженням правового режиму воєнного стану на території України;</w:t>
            </w:r>
          </w:p>
          <w:p w:rsidR="004A411A" w:rsidRDefault="004A411A" w:rsidP="004A411A">
            <w:pPr>
              <w:pStyle w:val="a3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A411A" w:rsidRDefault="004A411A" w:rsidP="004A411A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42F43" w:rsidRDefault="00042F43">
            <w:pPr>
              <w:pStyle w:val="a3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рахунок міського бюджету фінансуються видатки на напрями використання коштів Програми щодо забезпечення діяльності громадських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приймалень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депутатів Київської міської ради, у першу чергу на заробітну плату двом працівникам у розмірі до дев'яти прожиткових мінімумів для працездатних осіб (станом на 01 січня відповідного бюджетного року), комунальні послуги та енергоносії.</w:t>
            </w:r>
          </w:p>
        </w:tc>
        <w:tc>
          <w:tcPr>
            <w:tcW w:w="7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43" w:rsidRDefault="00042F43">
            <w:pPr>
              <w:pStyle w:val="a5"/>
              <w:ind w:firstLine="397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Пункт 3</w:t>
            </w:r>
          </w:p>
          <w:p w:rsidR="00042F43" w:rsidRDefault="00042F43">
            <w:pPr>
              <w:pStyle w:val="a5"/>
              <w:ind w:firstLine="709"/>
              <w:jc w:val="both"/>
              <w:rPr>
                <w:rFonts w:cs="Arial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3. Першочергові напрями використання коштів Програми - це видатки з бюджету міста Києва, спрямовані на забезпечення безперебійної діяльності громадських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приймалень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депутатів Київської міської ради й оперативне вирішення проблем жителів міста Києва в умовах воєнного стану, а саме:</w:t>
            </w:r>
          </w:p>
          <w:p w:rsidR="00042F43" w:rsidRDefault="00042F43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діяльність у сфері державного управління;</w:t>
            </w:r>
          </w:p>
          <w:p w:rsidR="00042F43" w:rsidRDefault="00042F43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заходи у сфері соціального захисту та соціального забезпечення;</w:t>
            </w:r>
          </w:p>
          <w:p w:rsidR="00042F43" w:rsidRDefault="00042F43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програми та заходи у сфері цивільного захисту населення;</w:t>
            </w:r>
          </w:p>
          <w:p w:rsidR="00DE4A8C" w:rsidRDefault="00042F43" w:rsidP="00DE4A8C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- програми та заходи у сфері національного спротиву та оборони;</w:t>
            </w:r>
            <w:r w:rsidR="00DE4A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F6686" w:rsidRDefault="007F6686" w:rsidP="007F6686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заходи у сфері житлово-комунального господарства;</w:t>
            </w:r>
          </w:p>
          <w:p w:rsidR="007F6686" w:rsidRDefault="007F6686" w:rsidP="007F6686">
            <w:pPr>
              <w:pStyle w:val="a3"/>
              <w:spacing w:before="0" w:after="0"/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 заходи у сфері освіти;</w:t>
            </w:r>
          </w:p>
          <w:p w:rsidR="007F6686" w:rsidRDefault="007F6686" w:rsidP="007F6686">
            <w:pPr>
              <w:pStyle w:val="a3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інші заходи, пов'язані із запровадженням правового режиму воєн</w:t>
            </w:r>
            <w:r w:rsidR="00D564E5">
              <w:rPr>
                <w:color w:val="000000"/>
                <w:sz w:val="28"/>
                <w:szCs w:val="28"/>
                <w:lang w:val="uk-UA"/>
              </w:rPr>
              <w:t>ного стану на території України.</w:t>
            </w:r>
            <w:bookmarkStart w:id="1" w:name="_GoBack"/>
            <w:bookmarkEnd w:id="1"/>
          </w:p>
          <w:p w:rsidR="002A6109" w:rsidRPr="007F6686" w:rsidRDefault="002A6109" w:rsidP="007F6686">
            <w:pPr>
              <w:pStyle w:val="a3"/>
              <w:spacing w:before="0" w:after="0"/>
              <w:ind w:firstLine="70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42F43" w:rsidRDefault="00042F43">
            <w:pPr>
              <w:pStyle w:val="a5"/>
              <w:ind w:firstLine="39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рахунок міського бюджету фінансуються видатки на напрями використання коштів Програми щодо забезпечення діяльності громадських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приймалень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депутатів Київської міської ради, у першу чергу на заробітну плату двом працівникам у розмірі до дев'яти прожиткових мінімумів для працездатних осіб (станом на 01 січня відповідного бюджетного року), комунальні послуги та енергоносії.</w:t>
            </w:r>
          </w:p>
        </w:tc>
      </w:tr>
    </w:tbl>
    <w:p w:rsidR="00042F43" w:rsidRDefault="00042F43" w:rsidP="00042F43">
      <w:pPr>
        <w:jc w:val="both"/>
        <w:rPr>
          <w:color w:val="000000"/>
          <w:sz w:val="28"/>
          <w:lang w:val="uk-UA"/>
        </w:rPr>
      </w:pPr>
    </w:p>
    <w:p w:rsidR="001C7CDA" w:rsidRDefault="001C7CDA" w:rsidP="00042F43">
      <w:pPr>
        <w:jc w:val="both"/>
        <w:rPr>
          <w:color w:val="000000"/>
          <w:sz w:val="28"/>
          <w:lang w:val="uk-UA"/>
        </w:rPr>
      </w:pPr>
    </w:p>
    <w:p w:rsidR="00042F43" w:rsidRDefault="00042F43" w:rsidP="00042F4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Депутатка Київської міської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Ганна СВИРИДЕНКО</w:t>
      </w: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1C7CDA" w:rsidRDefault="001C7CDA" w:rsidP="00042F43">
      <w:pPr>
        <w:ind w:left="5103"/>
        <w:rPr>
          <w:sz w:val="28"/>
          <w:szCs w:val="28"/>
          <w:lang w:val="uk-UA"/>
        </w:rPr>
      </w:pPr>
    </w:p>
    <w:p w:rsidR="001C7CDA" w:rsidRPr="001C7CDA" w:rsidRDefault="001C7CDA" w:rsidP="00042F43">
      <w:pPr>
        <w:ind w:left="5103"/>
        <w:rPr>
          <w:sz w:val="28"/>
          <w:szCs w:val="28"/>
          <w:lang w:val="uk-UA"/>
        </w:rPr>
      </w:pPr>
    </w:p>
    <w:p w:rsidR="001C7CDA" w:rsidRPr="001C7CDA" w:rsidRDefault="001C7CDA" w:rsidP="001C7CDA">
      <w:pPr>
        <w:jc w:val="both"/>
        <w:rPr>
          <w:sz w:val="28"/>
          <w:szCs w:val="28"/>
          <w:lang w:val="uk-UA"/>
        </w:rPr>
      </w:pPr>
      <w:r w:rsidRPr="001C7CDA">
        <w:rPr>
          <w:sz w:val="28"/>
          <w:szCs w:val="28"/>
          <w:lang w:val="uk-UA"/>
        </w:rPr>
        <w:t xml:space="preserve">Депутат Київської міської ради                                       </w:t>
      </w:r>
      <w:r>
        <w:rPr>
          <w:sz w:val="28"/>
          <w:szCs w:val="28"/>
          <w:lang w:val="uk-UA"/>
        </w:rPr>
        <w:t xml:space="preserve">   </w:t>
      </w:r>
      <w:r w:rsidRPr="001C7CDA">
        <w:rPr>
          <w:sz w:val="28"/>
          <w:szCs w:val="28"/>
          <w:lang w:val="uk-UA"/>
        </w:rPr>
        <w:t xml:space="preserve">                                                        Володимир СЛОНЧАК</w:t>
      </w:r>
    </w:p>
    <w:p w:rsidR="00042F43" w:rsidRDefault="00042F43" w:rsidP="00042F43">
      <w:pPr>
        <w:ind w:left="5103"/>
        <w:rPr>
          <w:b/>
          <w:sz w:val="28"/>
          <w:szCs w:val="28"/>
          <w:lang w:val="uk-UA"/>
        </w:rPr>
      </w:pPr>
    </w:p>
    <w:p w:rsidR="001C7CDA" w:rsidRDefault="001C7CDA" w:rsidP="00042F43">
      <w:pPr>
        <w:ind w:left="5103"/>
        <w:rPr>
          <w:b/>
          <w:sz w:val="28"/>
          <w:szCs w:val="28"/>
          <w:lang w:val="uk-UA"/>
        </w:rPr>
      </w:pPr>
    </w:p>
    <w:p w:rsidR="00042F43" w:rsidRDefault="00042F43" w:rsidP="00042F43">
      <w:pPr>
        <w:suppressAutoHyphens w:val="0"/>
        <w:rPr>
          <w:b/>
          <w:sz w:val="28"/>
          <w:szCs w:val="28"/>
          <w:lang w:val="uk-UA"/>
        </w:rPr>
      </w:pPr>
    </w:p>
    <w:p w:rsidR="001C7CDA" w:rsidRDefault="001C7CDA" w:rsidP="00042F43">
      <w:pPr>
        <w:suppressAutoHyphens w:val="0"/>
        <w:rPr>
          <w:b/>
          <w:sz w:val="28"/>
          <w:szCs w:val="28"/>
          <w:lang w:val="uk-UA"/>
        </w:rPr>
      </w:pPr>
    </w:p>
    <w:p w:rsidR="001C7CDA" w:rsidRPr="001C7CDA" w:rsidRDefault="001C7CDA" w:rsidP="00042F43">
      <w:pPr>
        <w:suppressAutoHyphens w:val="0"/>
        <w:rPr>
          <w:b/>
          <w:sz w:val="28"/>
          <w:szCs w:val="28"/>
          <w:lang w:val="uk-UA"/>
        </w:rPr>
        <w:sectPr w:rsidR="001C7CDA" w:rsidRPr="001C7CDA">
          <w:pgSz w:w="16838" w:h="11906" w:orient="landscape"/>
          <w:pgMar w:top="1701" w:right="1134" w:bottom="567" w:left="992" w:header="720" w:footer="720" w:gutter="0"/>
          <w:cols w:space="720"/>
          <w:formProt w:val="0"/>
        </w:sect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міського голови – </w:t>
      </w:r>
    </w:p>
    <w:p w:rsidR="00042F43" w:rsidRDefault="00042F43" w:rsidP="00042F4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Київської міської ради </w:t>
      </w:r>
    </w:p>
    <w:p w:rsidR="00042F43" w:rsidRDefault="00042F43" w:rsidP="00042F43">
      <w:pPr>
        <w:ind w:left="5103"/>
        <w:rPr>
          <w:sz w:val="28"/>
          <w:szCs w:val="28"/>
          <w:lang w:val="uk-UA"/>
        </w:rPr>
      </w:pPr>
    </w:p>
    <w:p w:rsidR="00042F43" w:rsidRDefault="00042F43" w:rsidP="00042F4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Володимиру БОНДАРЕНКУ</w:t>
      </w:r>
    </w:p>
    <w:p w:rsidR="00042F43" w:rsidRDefault="00042F43" w:rsidP="00042F43">
      <w:pPr>
        <w:rPr>
          <w:sz w:val="28"/>
          <w:szCs w:val="28"/>
          <w:lang w:val="uk-UA"/>
        </w:rPr>
      </w:pPr>
    </w:p>
    <w:p w:rsidR="00042F43" w:rsidRDefault="00042F43" w:rsidP="00042F43">
      <w:pPr>
        <w:rPr>
          <w:sz w:val="28"/>
          <w:szCs w:val="28"/>
          <w:lang w:val="uk-UA"/>
        </w:rPr>
      </w:pPr>
    </w:p>
    <w:p w:rsidR="00042F43" w:rsidRDefault="00042F43" w:rsidP="00042F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пане Володимире!</w:t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29 Регламенту Київської міської ради, затвердженого рішенням Київської міської ради від 04.11.2021 № 3135/3176, прошу Вас, забезпечити винесення на розгляд та погодження Київської міської ради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«</w:t>
      </w:r>
      <w:r>
        <w:rPr>
          <w:color w:val="000000"/>
          <w:sz w:val="28"/>
          <w:szCs w:val="28"/>
          <w:lang w:val="uk-UA"/>
        </w:rPr>
        <w:t xml:space="preserve">Про внесення зміни до пункту 3 Порядку використання коштів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 2022 року № 2102-IX</w:t>
      </w:r>
      <w:r>
        <w:rPr>
          <w:sz w:val="28"/>
          <w:szCs w:val="28"/>
          <w:lang w:val="uk-UA"/>
        </w:rPr>
        <w:t>».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у паперовому вигляді відповідає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в електронному вигляді на «USB» носії.</w:t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0"/>
        <w:gridCol w:w="8328"/>
      </w:tblGrid>
      <w:tr w:rsidR="00042F43" w:rsidTr="00042F43">
        <w:tc>
          <w:tcPr>
            <w:tcW w:w="1300" w:type="dxa"/>
            <w:hideMark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Додатки:</w:t>
            </w:r>
          </w:p>
        </w:tc>
        <w:tc>
          <w:tcPr>
            <w:tcW w:w="8328" w:type="dxa"/>
            <w:hideMark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 xml:space="preserve"> рішення на ___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арк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>. в 1. прим</w:t>
            </w:r>
          </w:p>
        </w:tc>
      </w:tr>
      <w:tr w:rsidR="00042F43" w:rsidTr="00042F43">
        <w:tc>
          <w:tcPr>
            <w:tcW w:w="1300" w:type="dxa"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8328" w:type="dxa"/>
            <w:hideMark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2. Пояснювальна записка до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 xml:space="preserve"> рішення на ___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арк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>. в 1 прим.</w:t>
            </w:r>
          </w:p>
        </w:tc>
      </w:tr>
      <w:tr w:rsidR="00042F43" w:rsidTr="00042F43">
        <w:tc>
          <w:tcPr>
            <w:tcW w:w="1300" w:type="dxa"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8328" w:type="dxa"/>
            <w:hideMark/>
          </w:tcPr>
          <w:p w:rsidR="00042F43" w:rsidRDefault="00042F43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3. Порівняльна таблиця до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 xml:space="preserve"> рішення на ___ </w:t>
            </w:r>
            <w:proofErr w:type="spellStart"/>
            <w:r>
              <w:rPr>
                <w:rFonts w:cs="Calibri"/>
                <w:sz w:val="28"/>
                <w:szCs w:val="28"/>
                <w:lang w:val="uk-UA"/>
              </w:rPr>
              <w:t>арк</w:t>
            </w:r>
            <w:proofErr w:type="spellEnd"/>
            <w:r>
              <w:rPr>
                <w:rFonts w:cs="Calibri"/>
                <w:sz w:val="28"/>
                <w:szCs w:val="28"/>
                <w:lang w:val="uk-UA"/>
              </w:rPr>
              <w:t>. в 1 прим.</w:t>
            </w:r>
          </w:p>
        </w:tc>
      </w:tr>
    </w:tbl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ind w:firstLine="708"/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Депутатка </w:t>
      </w:r>
      <w:r>
        <w:rPr>
          <w:sz w:val="28"/>
          <w:szCs w:val="28"/>
          <w:lang w:val="uk-UA"/>
        </w:rPr>
        <w:tab/>
        <w:t xml:space="preserve">Київської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Ганна СВИРИДЕНКО</w:t>
      </w:r>
    </w:p>
    <w:p w:rsidR="00042F43" w:rsidRDefault="00042F43" w:rsidP="00042F43">
      <w:pPr>
        <w:jc w:val="both"/>
        <w:rPr>
          <w:sz w:val="28"/>
          <w:szCs w:val="28"/>
          <w:lang w:val="uk-UA"/>
        </w:rPr>
      </w:pPr>
    </w:p>
    <w:p w:rsidR="00042F43" w:rsidRDefault="00042F43" w:rsidP="00042F43">
      <w:pPr>
        <w:rPr>
          <w:sz w:val="28"/>
          <w:szCs w:val="28"/>
          <w:lang w:val="uk-UA"/>
        </w:rPr>
      </w:pPr>
    </w:p>
    <w:p w:rsidR="00042F43" w:rsidRDefault="00042F43" w:rsidP="00042F43">
      <w:pPr>
        <w:rPr>
          <w:sz w:val="28"/>
          <w:szCs w:val="28"/>
          <w:lang w:val="uk-UA"/>
        </w:rPr>
      </w:pPr>
    </w:p>
    <w:p w:rsidR="00EB11AE" w:rsidRDefault="000116DA"/>
    <w:sectPr w:rsidR="00EB1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1E7"/>
    <w:multiLevelType w:val="hybridMultilevel"/>
    <w:tmpl w:val="BEC4FFDA"/>
    <w:lvl w:ilvl="0" w:tplc="877053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3"/>
    <w:rsid w:val="000116DA"/>
    <w:rsid w:val="00042F43"/>
    <w:rsid w:val="001904F4"/>
    <w:rsid w:val="001A20AB"/>
    <w:rsid w:val="001C7CDA"/>
    <w:rsid w:val="002A6109"/>
    <w:rsid w:val="004A411A"/>
    <w:rsid w:val="007B6749"/>
    <w:rsid w:val="007D37E0"/>
    <w:rsid w:val="007F6686"/>
    <w:rsid w:val="008D60BF"/>
    <w:rsid w:val="00A72470"/>
    <w:rsid w:val="00AD1933"/>
    <w:rsid w:val="00B007F3"/>
    <w:rsid w:val="00B15F23"/>
    <w:rsid w:val="00B72EB7"/>
    <w:rsid w:val="00C54C39"/>
    <w:rsid w:val="00D564E5"/>
    <w:rsid w:val="00DB3A90"/>
    <w:rsid w:val="00DE4A8C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894B-B5B2-4BD5-AA46-15573AF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2F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042F43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qFormat/>
    <w:rsid w:val="00042F43"/>
    <w:pPr>
      <w:spacing w:before="280" w:after="280"/>
    </w:pPr>
    <w:rPr>
      <w:rFonts w:eastAsia="Calibri"/>
    </w:rPr>
  </w:style>
  <w:style w:type="paragraph" w:styleId="a4">
    <w:name w:val="List Paragraph"/>
    <w:basedOn w:val="a"/>
    <w:uiPriority w:val="34"/>
    <w:qFormat/>
    <w:rsid w:val="00042F43"/>
    <w:pPr>
      <w:ind w:left="708"/>
    </w:pPr>
  </w:style>
  <w:style w:type="paragraph" w:customStyle="1" w:styleId="a5">
    <w:name w:val="Вміст таблиці"/>
    <w:basedOn w:val="a"/>
    <w:uiPriority w:val="99"/>
    <w:qFormat/>
    <w:rsid w:val="00042F43"/>
    <w:pPr>
      <w:suppressLineNumbers/>
    </w:pPr>
  </w:style>
  <w:style w:type="character" w:customStyle="1" w:styleId="1">
    <w:name w:val="Шрифт абзацу за промовчанням1"/>
    <w:qFormat/>
    <w:rsid w:val="00042F43"/>
  </w:style>
  <w:style w:type="character" w:customStyle="1" w:styleId="a6">
    <w:name w:val="Текст выноски Знак"/>
    <w:uiPriority w:val="99"/>
    <w:semiHidden/>
    <w:qFormat/>
    <w:locked/>
    <w:rsid w:val="007D37E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an.ua/society/navchalniy-rik-v-ukrajini-2022-kabmin-uhvaliv-rishennya-shchodo-pochatku-zanyat-u-shkolah-novini-ukrajini-1187824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7760</Words>
  <Characters>4424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Ludmyla</dc:creator>
  <cp:keywords/>
  <dc:description/>
  <cp:lastModifiedBy>Ivanko Ludmyla</cp:lastModifiedBy>
  <cp:revision>2</cp:revision>
  <cp:lastPrinted>2022-08-31T07:23:00Z</cp:lastPrinted>
  <dcterms:created xsi:type="dcterms:W3CDTF">2022-08-31T07:27:00Z</dcterms:created>
  <dcterms:modified xsi:type="dcterms:W3CDTF">2022-08-31T07:27:00Z</dcterms:modified>
</cp:coreProperties>
</file>