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E3" w:rsidRDefault="008750E3" w:rsidP="008750E3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val="en-US" w:bidi="en-US"/>
        </w:rPr>
      </w:pPr>
    </w:p>
    <w:p w:rsidR="008750E3" w:rsidRDefault="008750E3" w:rsidP="008750E3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val="en-US" w:bidi="en-US"/>
        </w:rPr>
      </w:pPr>
    </w:p>
    <w:p w:rsidR="008750E3" w:rsidRDefault="008750E3" w:rsidP="008750E3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val="en-US" w:bidi="en-US"/>
        </w:rPr>
      </w:pPr>
    </w:p>
    <w:p w:rsidR="008750E3" w:rsidRPr="008A1261" w:rsidRDefault="008750E3" w:rsidP="008750E3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val="en-US" w:bidi="en-US"/>
        </w:rPr>
      </w:pPr>
      <w:r>
        <w:rPr>
          <w:noProof/>
          <w:lang w:eastAsia="uk-UA"/>
        </w:rPr>
        <w:drawing>
          <wp:anchor distT="0" distB="0" distL="133350" distR="119380" simplePos="0" relativeHeight="251659264" behindDoc="0" locked="0" layoutInCell="1" allowOverlap="1" wp14:anchorId="4AFFF352" wp14:editId="58266F46">
            <wp:simplePos x="0" y="0"/>
            <wp:positionH relativeFrom="page">
              <wp:posOffset>3698875</wp:posOffset>
            </wp:positionH>
            <wp:positionV relativeFrom="paragraph">
              <wp:posOffset>-469265</wp:posOffset>
            </wp:positionV>
            <wp:extent cx="426720" cy="56451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0E3" w:rsidRPr="00B21E5A" w:rsidRDefault="008750E3" w:rsidP="008750E3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60"/>
          <w:szCs w:val="60"/>
          <w:lang w:val="ru-RU" w:bidi="en-US"/>
        </w:rPr>
      </w:pPr>
      <w:r w:rsidRPr="00B21E5A">
        <w:rPr>
          <w:rFonts w:ascii="Times New Roman" w:eastAsia="Andale Sans UI" w:hAnsi="Times New Roman"/>
          <w:b/>
          <w:color w:val="00000A"/>
          <w:sz w:val="60"/>
          <w:szCs w:val="60"/>
          <w:lang w:val="ru-RU" w:bidi="en-US"/>
        </w:rPr>
        <w:t>КИЇВСЬКА МІСЬКА РАДА</w:t>
      </w:r>
    </w:p>
    <w:p w:rsidR="008750E3" w:rsidRPr="00B21E5A" w:rsidRDefault="008750E3" w:rsidP="008750E3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 w:cs="Tahoma"/>
          <w:color w:val="00000A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color w:val="00000A"/>
          <w:sz w:val="24"/>
          <w:szCs w:val="24"/>
          <w:lang w:val="en-US" w:bidi="en-US"/>
        </w:rPr>
        <w:t>IX</w:t>
      </w: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val="ru-RU" w:bidi="en-US"/>
        </w:rPr>
        <w:t xml:space="preserve"> СКЛИКАННЯ</w:t>
      </w:r>
    </w:p>
    <w:p w:rsidR="008750E3" w:rsidRPr="00B21E5A" w:rsidRDefault="008750E3" w:rsidP="008750E3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ПОСТІЙНА КОМІСІЯ З ПИТАНЬ ДОТРИМАННЯ ЗАКОННОСТІ, ПРАВОПОРЯДКУ </w:t>
      </w:r>
    </w:p>
    <w:p w:rsidR="008750E3" w:rsidRPr="00B21E5A" w:rsidRDefault="008750E3" w:rsidP="008750E3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ТА </w:t>
      </w:r>
      <w:r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ЗВ'ЯЗКІВ ІЗ ПРАВООХОРОННИМИ ОРГАНАМИ</w:t>
      </w:r>
    </w:p>
    <w:p w:rsidR="008750E3" w:rsidRPr="00E9010D" w:rsidRDefault="008750E3" w:rsidP="008750E3">
      <w:pPr>
        <w:widowControl w:val="0"/>
        <w:pBdr>
          <w:top w:val="thinThickSmallGap" w:sz="24" w:space="1" w:color="00000A"/>
        </w:pBdr>
        <w:tabs>
          <w:tab w:val="left" w:pos="6660"/>
        </w:tabs>
        <w:overflowPunct w:val="0"/>
        <w:spacing w:after="0" w:line="240" w:lineRule="auto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16"/>
          <w:szCs w:val="16"/>
          <w:lang w:val="ru-RU" w:bidi="en-US"/>
        </w:rPr>
        <w:t xml:space="preserve">  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01044, м.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Київ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,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вул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.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Хрещатик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, 36                                                               тел./факс 202-76-88           </w:t>
      </w:r>
      <w:r w:rsidRPr="00B21E5A">
        <w:rPr>
          <w:rFonts w:ascii="Times New Roman" w:eastAsia="Andale Sans UI" w:hAnsi="Times New Roman"/>
          <w:bCs/>
          <w:color w:val="00000A"/>
          <w:sz w:val="20"/>
          <w:szCs w:val="24"/>
          <w:lang w:val="ru-RU" w:bidi="en-US"/>
        </w:rPr>
        <w:t xml:space="preserve">                                                       </w:t>
      </w:r>
      <w:r w:rsidRPr="00B21E5A">
        <w:rPr>
          <w:rFonts w:ascii="Times New Roman" w:eastAsia="Andale Sans UI" w:hAnsi="Times New Roman"/>
          <w:bCs/>
          <w:color w:val="00000A"/>
          <w:sz w:val="24"/>
          <w:szCs w:val="24"/>
          <w:lang w:val="ru-RU" w:bidi="en-US"/>
        </w:rPr>
        <w:t xml:space="preserve">                                               </w:t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8750E3" w:rsidRDefault="008750E3" w:rsidP="008750E3">
      <w:pPr>
        <w:widowControl w:val="0"/>
        <w:overflowPunct w:val="0"/>
        <w:spacing w:after="0" w:line="240" w:lineRule="auto"/>
        <w:ind w:left="7080"/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</w:t>
      </w:r>
    </w:p>
    <w:p w:rsidR="008750E3" w:rsidRPr="00B21E5A" w:rsidRDefault="008750E3" w:rsidP="008750E3">
      <w:pPr>
        <w:widowControl w:val="0"/>
        <w:overflowPunct w:val="0"/>
        <w:spacing w:after="0" w:line="240" w:lineRule="auto"/>
        <w:ind w:left="7080"/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 </w:t>
      </w: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вул. Хрещатик, 36 </w:t>
      </w:r>
    </w:p>
    <w:p w:rsidR="008750E3" w:rsidRPr="00023DE9" w:rsidRDefault="008750E3" w:rsidP="008750E3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                             </w:t>
      </w:r>
      <w:r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    </w:t>
      </w:r>
      <w:r w:rsidRPr="00023DE9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>(зала засідань 1017, 10-поверх</w:t>
      </w:r>
    </w:p>
    <w:p w:rsidR="008750E3" w:rsidRPr="00371DD2" w:rsidRDefault="008750E3" w:rsidP="008750E3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</w:pPr>
      <w:r w:rsidRPr="00023DE9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>11-00</w:t>
      </w:r>
      <w:r w:rsidRPr="00023DE9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>)</w:t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 xml:space="preserve">        </w:t>
      </w:r>
    </w:p>
    <w:p w:rsidR="003C7964" w:rsidRDefault="003C7964" w:rsidP="008750E3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/>
          <w:b/>
          <w:bCs/>
          <w:color w:val="00000A"/>
          <w:sz w:val="28"/>
          <w:szCs w:val="28"/>
          <w:u w:val="single"/>
          <w:lang w:bidi="en-US"/>
        </w:rPr>
      </w:pPr>
    </w:p>
    <w:p w:rsidR="003C7964" w:rsidRDefault="003C7964" w:rsidP="008750E3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/>
          <w:b/>
          <w:bCs/>
          <w:color w:val="00000A"/>
          <w:sz w:val="28"/>
          <w:szCs w:val="28"/>
          <w:u w:val="single"/>
          <w:lang w:bidi="en-US"/>
        </w:rPr>
      </w:pPr>
    </w:p>
    <w:p w:rsidR="008750E3" w:rsidRPr="00E9010D" w:rsidRDefault="008750E3" w:rsidP="008750E3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  <w:bookmarkStart w:id="0" w:name="_GoBack"/>
      <w:bookmarkEnd w:id="0"/>
      <w:proofErr w:type="spellStart"/>
      <w:r>
        <w:rPr>
          <w:rFonts w:ascii="Times New Roman" w:eastAsia="Andale Sans UI" w:hAnsi="Times New Roman"/>
          <w:b/>
          <w:bCs/>
          <w:color w:val="00000A"/>
          <w:sz w:val="28"/>
          <w:szCs w:val="28"/>
          <w:u w:val="single"/>
          <w:lang w:bidi="en-US"/>
        </w:rPr>
        <w:t>Проє</w:t>
      </w: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u w:val="single"/>
          <w:lang w:bidi="en-US"/>
        </w:rPr>
        <w:t>кт</w:t>
      </w:r>
      <w:proofErr w:type="spellEnd"/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  <w:t xml:space="preserve">  </w:t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</w:t>
      </w:r>
    </w:p>
    <w:p w:rsidR="008750E3" w:rsidRPr="00E67302" w:rsidRDefault="008750E3" w:rsidP="008750E3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</w:pPr>
      <w:r w:rsidRPr="00B21E5A"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  <w:t>Порядок денний</w:t>
      </w:r>
    </w:p>
    <w:p w:rsidR="008750E3" w:rsidRPr="00B21E5A" w:rsidRDefault="008750E3" w:rsidP="008750E3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позачергового </w:t>
      </w:r>
      <w:r w:rsidRPr="00B21E5A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засідання постійної комісії Київської міської ради </w:t>
      </w:r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з питань дотримання законності, </w:t>
      </w:r>
      <w:r w:rsidRPr="00B21E5A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правопорядку та </w:t>
      </w:r>
      <w:proofErr w:type="spellStart"/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із правоохоронними органами</w:t>
      </w:r>
    </w:p>
    <w:p w:rsidR="008750E3" w:rsidRDefault="00B37993" w:rsidP="008750E3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28</w:t>
      </w:r>
      <w:r w:rsidR="008750E3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.</w:t>
      </w:r>
      <w:r w:rsidR="008750E3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10</w:t>
      </w:r>
      <w:r w:rsidR="008750E3" w:rsidRPr="00D13009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.2021</w:t>
      </w:r>
    </w:p>
    <w:p w:rsidR="008C3789" w:rsidRDefault="008C3789"/>
    <w:p w:rsidR="008750E3" w:rsidRPr="001C08E9" w:rsidRDefault="008750E3" w:rsidP="008750E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</w:t>
      </w:r>
      <w:r w:rsidRPr="0036336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розгляд звернення ГО «АКТИВНА ДІЯ ПЛЮС» (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від 02.04.2021 № 08/7692) щодо законності проведення будівельних робіт по вул. Наддніпрянське шосе, 2а у Голосіївському районі міста Києва за замовленням ТОВ «ЕКВІЛІБРІУМ ТРЕЙД» </w:t>
      </w:r>
      <w:r w:rsidRPr="001C08E9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(Доповідачі: Максим Глущенко, </w:t>
      </w:r>
      <w:r w:rsidR="00B37993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Валентина Пелих,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 </w:t>
      </w:r>
      <w:r w:rsidR="00B37993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Олександр </w:t>
      </w:r>
      <w:proofErr w:type="spellStart"/>
      <w:r w:rsidR="00B37993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Свистунов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)</w:t>
      </w:r>
      <w:r w:rsidRPr="001C08E9">
        <w:rPr>
          <w:rFonts w:ascii="Times New Roman" w:hAnsi="Times New Roman"/>
          <w:i/>
          <w:sz w:val="28"/>
          <w:szCs w:val="28"/>
        </w:rPr>
        <w:t>.</w:t>
      </w:r>
    </w:p>
    <w:p w:rsidR="008750E3" w:rsidRDefault="008750E3"/>
    <w:p w:rsidR="00960455" w:rsidRPr="00960455" w:rsidRDefault="00960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60455">
        <w:rPr>
          <w:rFonts w:ascii="Times New Roman" w:hAnsi="Times New Roman"/>
          <w:sz w:val="28"/>
          <w:szCs w:val="28"/>
        </w:rPr>
        <w:t xml:space="preserve">олова </w:t>
      </w:r>
      <w:r>
        <w:rPr>
          <w:rFonts w:ascii="Times New Roman" w:hAnsi="Times New Roman"/>
          <w:sz w:val="28"/>
          <w:szCs w:val="28"/>
        </w:rPr>
        <w:t>постійної комісії                                                        Олександр ПЛУЖНИК</w:t>
      </w:r>
    </w:p>
    <w:sectPr w:rsidR="00960455" w:rsidRPr="009604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E3"/>
    <w:rsid w:val="003C7964"/>
    <w:rsid w:val="008750E3"/>
    <w:rsid w:val="008C3789"/>
    <w:rsid w:val="00960455"/>
    <w:rsid w:val="00B3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C382B-DA2F-4FF0-A164-7CCFE8FD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0E3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Торопенко Тетяна Вадимівна</cp:lastModifiedBy>
  <cp:revision>2</cp:revision>
  <dcterms:created xsi:type="dcterms:W3CDTF">2021-10-22T11:38:00Z</dcterms:created>
  <dcterms:modified xsi:type="dcterms:W3CDTF">2021-10-22T12:10:00Z</dcterms:modified>
</cp:coreProperties>
</file>